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default" w:ascii="宋体" w:hAnsi="宋体" w:cs="宋体"/>
          <w:b/>
          <w:color w:val="auto"/>
          <w:sz w:val="56"/>
          <w:szCs w:val="56"/>
          <w:highlight w:val="none"/>
          <w:lang w:val="en-US" w:eastAsia="zh-CN"/>
        </w:rPr>
      </w:pPr>
      <w:bookmarkStart w:id="0" w:name="_Toc155772381"/>
      <w:bookmarkStart w:id="1" w:name="_Toc48107370"/>
    </w:p>
    <w:p>
      <w:pPr>
        <w:widowControl w:val="0"/>
        <w:wordWrap/>
        <w:adjustRightInd/>
        <w:snapToGrid/>
        <w:spacing w:line="240" w:lineRule="auto"/>
        <w:jc w:val="center"/>
        <w:textAlignment w:val="auto"/>
        <w:rPr>
          <w:rFonts w:hint="eastAsia" w:ascii="宋体" w:hAnsi="宋体" w:cs="宋体"/>
          <w:b/>
          <w:color w:val="auto"/>
          <w:sz w:val="56"/>
          <w:szCs w:val="56"/>
          <w:highlight w:val="none"/>
          <w:lang w:val="en-US" w:eastAsia="zh-CN"/>
        </w:rPr>
      </w:pP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r>
        <w:rPr>
          <w:rFonts w:hint="eastAsia" w:ascii="宋体" w:hAnsi="宋体" w:cs="宋体"/>
          <w:b/>
          <w:color w:val="auto"/>
          <w:sz w:val="56"/>
          <w:szCs w:val="56"/>
          <w:highlight w:val="none"/>
          <w:lang w:val="en-US" w:eastAsia="zh-CN"/>
        </w:rPr>
        <w:t>县级站点建设项目（二次）</w:t>
      </w: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none"/>
          <w:lang w:val="en-US" w:eastAsia="zh-CN"/>
        </w:rPr>
        <w:t>CZSC-202411-02</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jc w:val="center"/>
        <w:textAlignment w:val="baseline"/>
        <w:rPr>
          <w:rFonts w:hint="default" w:ascii="宋体" w:hAnsi="宋体" w:eastAsia="宋体" w:cs="宋体"/>
          <w:b/>
          <w:bCs/>
          <w:color w:val="auto"/>
          <w:sz w:val="30"/>
          <w:highlight w:val="none"/>
          <w:lang w:val="en-US" w:eastAsia="zh-CN"/>
        </w:rPr>
      </w:pP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沧州数产科技有限公司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2024</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11</w:t>
      </w:r>
      <w:r>
        <w:rPr>
          <w:rFonts w:hint="eastAsia" w:ascii="宋体" w:hAnsi="宋体" w:eastAsia="宋体" w:cs="宋体"/>
          <w:b/>
          <w:bCs/>
          <w:color w:val="auto"/>
          <w:sz w:val="30"/>
          <w:highlight w:val="none"/>
          <w:lang w:eastAsia="zh-CN"/>
        </w:rPr>
        <w:t>月</w:t>
      </w:r>
    </w:p>
    <w:p>
      <w:pPr>
        <w:pStyle w:val="24"/>
        <w:rPr>
          <w:rFonts w:hint="eastAsia"/>
          <w:highlight w:val="none"/>
        </w:rPr>
        <w:sectPr>
          <w:headerReference r:id="rId3" w:type="default"/>
          <w:pgSz w:w="11906" w:h="16838"/>
          <w:pgMar w:top="1040" w:right="1286" w:bottom="1098" w:left="1380" w:header="851" w:footer="992" w:gutter="0"/>
          <w:pgNumType w:fmt="decimal" w:start="1"/>
          <w:cols w:space="720" w:num="1"/>
          <w:docGrid w:type="lines" w:linePitch="312" w:charSpace="0"/>
        </w:sectPr>
      </w:pPr>
    </w:p>
    <w:p>
      <w:pPr>
        <w:pStyle w:val="24"/>
        <w:rPr>
          <w:rFonts w:hint="eastAsia"/>
          <w:highlight w:val="none"/>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6"/>
        <w:rPr>
          <w:rFonts w:hint="eastAsia" w:ascii="宋体" w:hAnsi="宋体" w:eastAsia="宋体" w:cs="宋体"/>
          <w:b/>
          <w:color w:val="auto"/>
          <w:sz w:val="24"/>
          <w:highlight w:val="none"/>
        </w:rPr>
      </w:pPr>
    </w:p>
    <w:p>
      <w:pPr>
        <w:pStyle w:val="36"/>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6"/>
        <w:rPr>
          <w:rFonts w:hint="eastAsia" w:ascii="宋体" w:hAnsi="宋体" w:eastAsia="宋体" w:cs="宋体"/>
          <w:color w:val="auto"/>
          <w:highlight w:val="none"/>
        </w:rPr>
      </w:pPr>
    </w:p>
    <w:p>
      <w:pPr>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single"/>
          <w:lang w:val="en-US" w:eastAsia="zh-CN"/>
        </w:rPr>
        <w:t>县级站点建设项目（二次）</w:t>
      </w:r>
      <w:r>
        <w:rPr>
          <w:rFonts w:hint="eastAsia" w:ascii="宋体" w:hAnsi="宋体" w:eastAsia="宋体" w:cs="宋体"/>
          <w:color w:val="auto"/>
          <w:sz w:val="24"/>
          <w:szCs w:val="24"/>
          <w:highlight w:val="none"/>
        </w:rPr>
        <w:t>的潜在供应商应在</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获取采购文件，并于</w:t>
      </w:r>
      <w:r>
        <w:rPr>
          <w:rFonts w:hint="eastAsia" w:ascii="宋体" w:hAnsi="宋体" w:eastAsia="宋体" w:cs="宋体"/>
          <w:bCs/>
          <w:color w:val="auto"/>
          <w:sz w:val="24"/>
          <w:szCs w:val="24"/>
          <w:highlight w:val="none"/>
          <w:u w:val="single"/>
          <w:lang w:val="en-US" w:eastAsia="zh-CN"/>
        </w:rPr>
        <w:t xml:space="preserve">2024 </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12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02日10</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5"/>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2" w:name="_Toc35393798"/>
      <w:bookmarkStart w:id="3" w:name="_Toc28359012"/>
      <w:bookmarkStart w:id="4" w:name="_Toc35393629"/>
      <w:bookmarkStart w:id="5" w:name="_Toc28359089"/>
      <w:r>
        <w:rPr>
          <w:rFonts w:hint="eastAsia" w:ascii="宋体" w:hAnsi="宋体" w:eastAsia="宋体" w:cs="宋体"/>
          <w:b/>
          <w:bCs/>
          <w:color w:val="auto"/>
          <w:sz w:val="24"/>
          <w:szCs w:val="24"/>
          <w:highlight w:val="none"/>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项目编号：CZSC-2024</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县级站点建设项目（二次）</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210000.00元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详见第三章采购要求</w:t>
      </w:r>
    </w:p>
    <w:p>
      <w:pPr>
        <w:widowControl w:val="0"/>
        <w:wordWrap/>
        <w:adjustRightInd/>
        <w:snapToGrid/>
        <w:spacing w:line="360" w:lineRule="exact"/>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工期：自合同签订之日起30日历天完成。</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本项目（是/否）接受联合体</w:t>
      </w:r>
      <w:r>
        <w:rPr>
          <w:rFonts w:hint="eastAsia" w:ascii="宋体" w:hAnsi="宋体" w:cs="宋体"/>
          <w:color w:val="auto"/>
          <w:sz w:val="24"/>
          <w:szCs w:val="24"/>
          <w:highlight w:val="none"/>
          <w:lang w:eastAsia="zh-CN"/>
        </w:rPr>
        <w:t>：否</w:t>
      </w:r>
    </w:p>
    <w:p>
      <w:pPr>
        <w:pStyle w:val="5"/>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6" w:name="_Toc35393799"/>
      <w:bookmarkStart w:id="7" w:name="_Toc28359013"/>
      <w:bookmarkStart w:id="8" w:name="_Toc35393630"/>
      <w:bookmarkStart w:id="9" w:name="_Toc28359090"/>
      <w:r>
        <w:rPr>
          <w:rFonts w:hint="eastAsia" w:ascii="宋体" w:hAnsi="宋体" w:eastAsia="宋体" w:cs="宋体"/>
          <w:b/>
          <w:bCs/>
          <w:color w:val="auto"/>
          <w:sz w:val="24"/>
          <w:szCs w:val="24"/>
          <w:highlight w:val="none"/>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bookmarkStart w:id="10" w:name="_Toc28359014"/>
      <w:bookmarkStart w:id="11" w:name="_Toc28359091"/>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800"/>
      <w:bookmarkStart w:id="13" w:name="_Toc35393631"/>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20日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02日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，每天上午9时00分至12时00分，下午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地点：在</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自行下载</w:t>
      </w:r>
    </w:p>
    <w:p>
      <w:pPr>
        <w:pStyle w:val="5"/>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28359015"/>
      <w:bookmarkStart w:id="15" w:name="_Toc35393801"/>
      <w:bookmarkStart w:id="16" w:name="_Toc28359092"/>
      <w:bookmarkStart w:id="17" w:name="_Toc35393632"/>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bookmarkStart w:id="18" w:name="_Toc28359016"/>
      <w:bookmarkStart w:id="19" w:name="_Toc35393802"/>
      <w:bookmarkStart w:id="20" w:name="_Toc35393633"/>
      <w:bookmarkStart w:id="21" w:name="_Toc2835909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投标文件递交的截止时间(投标截止时间，下同)为</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2024年12月02日10时30分，</w:t>
      </w:r>
      <w:r>
        <w:rPr>
          <w:rFonts w:hint="eastAsia" w:ascii="宋体" w:hAnsi="宋体" w:eastAsia="宋体" w:cs="宋体"/>
          <w:color w:val="auto"/>
          <w:sz w:val="24"/>
          <w:szCs w:val="24"/>
          <w:highlight w:val="none"/>
        </w:rPr>
        <w:t xml:space="preserve"> 投标人应于</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当日8 时30分至10时30分将投标文件递交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河北省沧州市高新区中关村科技园丰台园1B#楼（盈碳科技大厦）6楼。</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投标人在开标时应携带并现场出示如下证明材料</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证明材料均加盖公章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法定代表人（单位负责人）参加开标会议，应携带本人有效身份证和法人身份证明（或 委托代理人参加开标会议应携带法定代表人（单位负责人）授权书原件和委托代理人本人身份证原件）。还需要携带营业执照副本复印件、</w:t>
      </w:r>
      <w:r>
        <w:rPr>
          <w:rFonts w:hint="eastAsia"/>
          <w:sz w:val="24"/>
          <w:lang w:val="en-US"/>
        </w:rPr>
        <w:t>满足《中华人民共和国政府采购法》第二十二条规定条件的承诺函</w:t>
      </w:r>
      <w:r>
        <w:rPr>
          <w:rFonts w:hint="eastAsia" w:ascii="宋体" w:hAnsi="宋体" w:eastAsia="宋体" w:cs="宋体"/>
          <w:color w:val="auto"/>
          <w:sz w:val="24"/>
          <w:szCs w:val="24"/>
          <w:highlight w:val="none"/>
        </w:rPr>
        <w:t>、在国家企业信用信息公示系统（http://www.gsxt.gov.cn/)经营情况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逾期送达的或者未送达指定地点的投标文件，招标人不予受理。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02日14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地点：河北省沧州市高新区中关村科技园丰台园1B#楼（盈碳科技大厦）6楼</w:t>
      </w:r>
    </w:p>
    <w:p>
      <w:pPr>
        <w:pStyle w:val="5"/>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35393803"/>
      <w:bookmarkStart w:id="23" w:name="_Toc35393634"/>
      <w:bookmarkStart w:id="24" w:name="_Toc28359094"/>
      <w:bookmarkStart w:id="25" w:name="_Toc28359017"/>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w:t>
      </w:r>
    </w:p>
    <w:p>
      <w:pPr>
        <w:pStyle w:val="5"/>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6" w:name="_Toc35393635"/>
      <w:bookmarkStart w:id="27" w:name="_Toc35393804"/>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26"/>
      <w:bookmarkEnd w:id="27"/>
    </w:p>
    <w:p>
      <w:pPr>
        <w:pStyle w:val="5"/>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highlight w:val="none"/>
          <w:lang w:eastAsia="zh-CN"/>
        </w:rPr>
      </w:pPr>
      <w:bookmarkStart w:id="28" w:name="_Toc35393805"/>
      <w:bookmarkStart w:id="29" w:name="_Toc28359095"/>
      <w:bookmarkStart w:id="30" w:name="_Toc28359018"/>
      <w:bookmarkStart w:id="31" w:name="_Toc35393636"/>
      <w:r>
        <w:rPr>
          <w:rFonts w:hint="eastAsia" w:ascii="宋体" w:hAnsi="宋体" w:eastAsia="宋体" w:cs="宋体"/>
          <w:color w:val="auto"/>
          <w:kern w:val="0"/>
          <w:sz w:val="24"/>
          <w:szCs w:val="24"/>
          <w:highlight w:val="none"/>
          <w:lang w:eastAsia="zh-CN"/>
        </w:rPr>
        <w:t>本公告发布媒</w:t>
      </w:r>
      <w:r>
        <w:rPr>
          <w:rFonts w:hint="eastAsia" w:ascii="宋体" w:hAnsi="宋体" w:eastAsia="宋体" w:cs="宋体"/>
          <w:color w:val="auto"/>
          <w:kern w:val="0"/>
          <w:sz w:val="24"/>
          <w:szCs w:val="24"/>
          <w:highlight w:val="none"/>
          <w:lang w:val="en-US" w:eastAsia="zh-CN" w:bidi="ar-SA"/>
        </w:rPr>
        <w:t>体：沧州建投集团网站</w:t>
      </w:r>
    </w:p>
    <w:p>
      <w:pPr>
        <w:pStyle w:val="5"/>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地址：河北省沧州市高新区中关村科技园丰台园1B#楼（盈碳科技大厦）6楼</w:t>
      </w:r>
    </w:p>
    <w:p>
      <w:pPr>
        <w:pStyle w:val="39"/>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张工</w:t>
      </w:r>
      <w:r>
        <w:rPr>
          <w:rFonts w:hint="eastAsia"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0317-5270772  </w:t>
      </w:r>
    </w:p>
    <w:p>
      <w:pPr>
        <w:rPr>
          <w:rFonts w:hint="eastAsia"/>
          <w:color w:val="auto"/>
          <w:sz w:val="32"/>
          <w:szCs w:val="32"/>
          <w:highlight w:val="none"/>
        </w:rPr>
      </w:pPr>
    </w:p>
    <w:p>
      <w:pPr>
        <w:rPr>
          <w:rFonts w:hint="eastAsia"/>
          <w:color w:val="auto"/>
          <w:sz w:val="32"/>
          <w:szCs w:val="32"/>
          <w:highlight w:val="none"/>
        </w:rPr>
      </w:pPr>
      <w:r>
        <w:rPr>
          <w:rFonts w:hint="eastAsia"/>
          <w:color w:val="auto"/>
          <w:sz w:val="32"/>
          <w:szCs w:val="32"/>
          <w:highlight w:val="none"/>
        </w:rPr>
        <w:br w:type="page"/>
      </w:r>
    </w:p>
    <w:p>
      <w:pPr>
        <w:pStyle w:val="4"/>
        <w:rPr>
          <w:color w:val="auto"/>
          <w:sz w:val="32"/>
          <w:szCs w:val="32"/>
          <w:highlight w:val="none"/>
        </w:rPr>
      </w:pPr>
      <w:r>
        <w:rPr>
          <w:rFonts w:hint="eastAsia"/>
          <w:color w:val="auto"/>
          <w:sz w:val="32"/>
          <w:szCs w:val="32"/>
          <w:highlight w:val="none"/>
        </w:rPr>
        <w:t xml:space="preserve">第二章  </w:t>
      </w:r>
      <w:bookmarkEnd w:id="0"/>
      <w:bookmarkEnd w:id="1"/>
      <w:r>
        <w:rPr>
          <w:rFonts w:hint="eastAsia"/>
          <w:color w:val="auto"/>
          <w:sz w:val="32"/>
          <w:szCs w:val="32"/>
          <w:highlight w:val="none"/>
        </w:rPr>
        <w:t>磋商须知及前附表</w:t>
      </w:r>
    </w:p>
    <w:p>
      <w:pPr>
        <w:jc w:val="center"/>
        <w:outlineLvl w:val="0"/>
        <w:rPr>
          <w:rFonts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磋商须知前附表</w:t>
      </w:r>
    </w:p>
    <w:tbl>
      <w:tblPr>
        <w:tblStyle w:val="19"/>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县级站点建设项目（二次）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CZSC-202411-02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质量标准</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满足采购人使用标准。</w:t>
            </w:r>
          </w:p>
          <w:p>
            <w:pPr>
              <w:spacing w:line="360" w:lineRule="auto"/>
              <w:jc w:val="left"/>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需求</w:t>
            </w:r>
          </w:p>
        </w:tc>
        <w:tc>
          <w:tcPr>
            <w:tcW w:w="6673" w:type="dxa"/>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详见第三章采购要求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4"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z w:val="24"/>
                <w:szCs w:val="24"/>
                <w:highlight w:val="none"/>
                <w:lang w:eastAsia="zh-CN"/>
              </w:rPr>
              <w:t>服务期限</w:t>
            </w:r>
          </w:p>
        </w:tc>
        <w:tc>
          <w:tcPr>
            <w:tcW w:w="6673" w:type="dxa"/>
            <w:vAlign w:val="center"/>
          </w:tcPr>
          <w:p>
            <w:pPr>
              <w:pStyle w:val="36"/>
              <w:ind w:left="0" w:leftChars="0" w:firstLine="0" w:firstLineChars="0"/>
              <w:jc w:val="left"/>
              <w:rPr>
                <w:rFonts w:eastAsia="宋体" w:cs="宋体"/>
                <w:color w:val="auto"/>
                <w:szCs w:val="24"/>
                <w:highlight w:val="none"/>
              </w:rPr>
            </w:pPr>
            <w:r>
              <w:rPr>
                <w:rFonts w:hint="eastAsia" w:ascii="宋体" w:hAnsi="宋体" w:eastAsia="宋体" w:cs="宋体"/>
                <w:color w:val="auto"/>
                <w:sz w:val="24"/>
                <w:szCs w:val="24"/>
                <w:highlight w:val="none"/>
                <w:lang w:val="en-US" w:eastAsia="zh-CN"/>
              </w:rPr>
              <w:t>三年，项目验收后提供三年的质保和服务，期满以后设备所有权归采购方所有。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采购方式</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4" w:type="dxa"/>
            <w:vAlign w:val="center"/>
          </w:tcPr>
          <w:p>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标段划分</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9</w:t>
            </w:r>
          </w:p>
        </w:tc>
        <w:tc>
          <w:tcPr>
            <w:tcW w:w="2114" w:type="dxa"/>
            <w:vAlign w:val="center"/>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资格审查</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b w:val="0"/>
                <w:bCs w:val="0"/>
                <w:color w:val="auto"/>
                <w:spacing w:val="8"/>
                <w:sz w:val="24"/>
                <w:szCs w:val="24"/>
                <w:highlight w:val="none"/>
              </w:rPr>
              <w:t>报价</w:t>
            </w:r>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val="zh-CN" w:eastAsia="zh-CN"/>
              </w:rPr>
            </w:pPr>
            <w:r>
              <w:rPr>
                <w:rFonts w:hint="eastAsia" w:ascii="宋体" w:hAnsi="宋体" w:eastAsia="宋体" w:cs="宋体"/>
                <w:b w:val="0"/>
                <w:bCs w:val="0"/>
                <w:color w:val="auto"/>
                <w:spacing w:val="8"/>
                <w:sz w:val="24"/>
                <w:szCs w:val="24"/>
                <w:highlight w:val="none"/>
                <w:lang w:val="zh-CN"/>
              </w:rPr>
              <w:t>本次采购项目最高限价为</w:t>
            </w:r>
            <w:r>
              <w:rPr>
                <w:rFonts w:hint="eastAsia" w:ascii="宋体" w:hAnsi="宋体" w:eastAsia="宋体" w:cs="宋体"/>
                <w:b w:val="0"/>
                <w:bCs w:val="0"/>
                <w:color w:val="auto"/>
                <w:spacing w:val="8"/>
                <w:sz w:val="24"/>
                <w:szCs w:val="24"/>
                <w:highlight w:val="none"/>
                <w:lang w:val="en-US" w:eastAsia="zh-CN"/>
              </w:rPr>
              <w:t>210000.00</w:t>
            </w:r>
            <w:r>
              <w:rPr>
                <w:rFonts w:hint="eastAsia" w:ascii="宋体" w:hAnsi="宋体" w:eastAsia="宋体" w:cs="宋体"/>
                <w:b w:val="0"/>
                <w:bCs w:val="0"/>
                <w:color w:val="auto"/>
                <w:spacing w:val="8"/>
                <w:sz w:val="24"/>
                <w:szCs w:val="24"/>
                <w:highlight w:val="none"/>
                <w:lang w:val="zh-CN"/>
              </w:rPr>
              <w:t>元</w:t>
            </w:r>
            <w:r>
              <w:rPr>
                <w:rFonts w:hint="eastAsia" w:ascii="宋体" w:hAnsi="宋体" w:eastAsia="宋体" w:cs="宋体"/>
                <w:b w:val="0"/>
                <w:bCs w:val="0"/>
                <w:color w:val="auto"/>
                <w:spacing w:val="8"/>
                <w:sz w:val="24"/>
                <w:szCs w:val="24"/>
                <w:highlight w:val="none"/>
                <w:lang w:val="en-US" w:eastAsia="zh-CN"/>
              </w:rPr>
              <w:t>，</w:t>
            </w:r>
            <w:r>
              <w:rPr>
                <w:rFonts w:hint="eastAsia" w:ascii="宋体" w:hAnsi="宋体" w:eastAsia="宋体" w:cs="宋体"/>
                <w:b w:val="0"/>
                <w:bCs w:val="0"/>
                <w:color w:val="auto"/>
                <w:spacing w:val="8"/>
                <w:sz w:val="24"/>
                <w:szCs w:val="24"/>
                <w:highlight w:val="none"/>
                <w:lang w:val="zh-CN"/>
              </w:rPr>
              <w:t>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投标有效期</w:t>
            </w:r>
          </w:p>
        </w:tc>
        <w:tc>
          <w:tcPr>
            <w:tcW w:w="6673"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sz w:val="24"/>
                <w:szCs w:val="24"/>
                <w:highlight w:val="none"/>
                <w:lang w:val="en-US" w:eastAsia="zh-CN"/>
              </w:rPr>
              <w:t>90</w:t>
            </w:r>
            <w:r>
              <w:rPr>
                <w:rFonts w:hint="eastAsia" w:ascii="宋体" w:hAnsi="宋体" w:cs="宋体"/>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磋商保证金</w:t>
            </w:r>
          </w:p>
        </w:tc>
        <w:tc>
          <w:tcPr>
            <w:tcW w:w="6673" w:type="dxa"/>
            <w:vAlign w:val="center"/>
          </w:tcPr>
          <w:p>
            <w:pPr>
              <w:jc w:val="left"/>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14</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响应文件份数</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spacing w:val="8"/>
                <w:sz w:val="24"/>
                <w:szCs w:val="24"/>
                <w:lang w:val="zh-CN"/>
              </w:rPr>
              <w:t>一份正本，</w:t>
            </w:r>
            <w:r>
              <w:rPr>
                <w:rFonts w:hint="eastAsia" w:ascii="宋体" w:hAnsi="宋体" w:eastAsia="宋体" w:cs="宋体"/>
                <w:spacing w:val="8"/>
                <w:sz w:val="24"/>
                <w:szCs w:val="24"/>
              </w:rPr>
              <w:t>二</w:t>
            </w:r>
            <w:r>
              <w:rPr>
                <w:rFonts w:hint="eastAsia" w:ascii="宋体" w:hAnsi="宋体" w:eastAsia="宋体" w:cs="宋体"/>
                <w:spacing w:val="8"/>
                <w:sz w:val="24"/>
                <w:szCs w:val="24"/>
                <w:lang w:val="zh-CN"/>
              </w:rPr>
              <w:t>份副本，</w:t>
            </w:r>
            <w:r>
              <w:rPr>
                <w:rFonts w:hint="eastAsia" w:ascii="宋体" w:hAnsi="宋体" w:eastAsia="宋体" w:cs="宋体"/>
                <w:spacing w:val="8"/>
                <w:sz w:val="24"/>
                <w:szCs w:val="24"/>
                <w:lang w:val="en-US" w:eastAsia="zh-CN"/>
              </w:rPr>
              <w:t>电子版1份（U盘），</w:t>
            </w:r>
            <w:r>
              <w:rPr>
                <w:spacing w:val="-1"/>
                <w14:textOutline w14:w="3175" w14:cap="flat" w14:cmpd="sng" w14:algn="ctr">
                  <w14:solidFill>
                    <w14:srgbClr w14:val="000000"/>
                  </w14:solidFill>
                  <w14:prstDash w14:val="solid"/>
                  <w14:miter w14:val="0"/>
                </w14:textOutline>
              </w:rPr>
              <w:t>投标文件所有内容应当全部胶装。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15</w:t>
            </w:r>
          </w:p>
        </w:tc>
        <w:tc>
          <w:tcPr>
            <w:tcW w:w="2114"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02日10</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16</w:t>
            </w:r>
          </w:p>
        </w:tc>
        <w:tc>
          <w:tcPr>
            <w:tcW w:w="2114"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673" w:type="dxa"/>
            <w:vAlign w:val="center"/>
          </w:tcPr>
          <w:p>
            <w:pPr>
              <w:spacing w:line="40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线下开标地点：</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02日14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17</w:t>
            </w:r>
          </w:p>
        </w:tc>
        <w:tc>
          <w:tcPr>
            <w:tcW w:w="2114" w:type="dxa"/>
            <w:vAlign w:val="center"/>
          </w:tcPr>
          <w:p>
            <w:pPr>
              <w:spacing w:line="480" w:lineRule="exact"/>
              <w:rPr>
                <w:rFonts w:ascii="宋体" w:hAnsi="宋体" w:eastAsia="宋体" w:cs="宋体"/>
                <w:color w:val="auto"/>
                <w:spacing w:val="3"/>
                <w:kern w:val="0"/>
                <w:sz w:val="24"/>
                <w:szCs w:val="24"/>
                <w:highlight w:val="none"/>
              </w:rPr>
            </w:pPr>
            <w:r>
              <w:rPr>
                <w:rFonts w:hint="eastAsia" w:ascii="宋体" w:hAnsi="宋体" w:eastAsia="宋体" w:cs="宋体"/>
                <w:color w:val="auto"/>
                <w:sz w:val="24"/>
                <w:szCs w:val="24"/>
                <w:highlight w:val="none"/>
              </w:rPr>
              <w:t>采购人及代理单位联系人、联系地址</w:t>
            </w:r>
          </w:p>
        </w:tc>
        <w:tc>
          <w:tcPr>
            <w:tcW w:w="6673" w:type="dxa"/>
            <w:vAlign w:val="center"/>
          </w:tcPr>
          <w:p>
            <w:pPr>
              <w:spacing w:line="36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采购人：</w:t>
            </w:r>
            <w:r>
              <w:rPr>
                <w:rFonts w:hint="eastAsia" w:ascii="宋体" w:hAnsi="宋体" w:eastAsia="宋体" w:cs="宋体"/>
                <w:color w:val="auto"/>
                <w:kern w:val="0"/>
                <w:sz w:val="24"/>
                <w:szCs w:val="24"/>
                <w:highlight w:val="none"/>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8</w:t>
            </w:r>
          </w:p>
        </w:tc>
        <w:tc>
          <w:tcPr>
            <w:tcW w:w="2114"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673" w:type="dxa"/>
            <w:vAlign w:val="center"/>
          </w:tcPr>
          <w:p>
            <w:pP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磋商小组由评审专家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19</w:t>
            </w:r>
          </w:p>
        </w:tc>
        <w:tc>
          <w:tcPr>
            <w:tcW w:w="2114" w:type="dxa"/>
            <w:vAlign w:val="center"/>
          </w:tcPr>
          <w:p>
            <w:pPr>
              <w:spacing w:line="2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20</w:t>
            </w:r>
          </w:p>
        </w:tc>
        <w:tc>
          <w:tcPr>
            <w:tcW w:w="2114" w:type="dxa"/>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bl>
    <w:p>
      <w:pPr>
        <w:rPr>
          <w:rFonts w:hint="eastAsia" w:ascii="宋体" w:hAnsi="宋体" w:eastAsia="宋体" w:cs="宋体"/>
          <w:b/>
          <w:bCs/>
          <w:color w:val="auto"/>
          <w:sz w:val="32"/>
          <w:szCs w:val="32"/>
          <w:highlight w:val="none"/>
        </w:rPr>
      </w:pPr>
      <w:bookmarkStart w:id="32" w:name="_Toc22442"/>
      <w:r>
        <w:rPr>
          <w:rFonts w:hint="eastAsia" w:ascii="宋体" w:hAnsi="宋体" w:eastAsia="宋体" w:cs="宋体"/>
          <w:b/>
          <w:bCs/>
          <w:color w:val="auto"/>
          <w:sz w:val="32"/>
          <w:szCs w:val="32"/>
          <w:highlight w:val="none"/>
        </w:rPr>
        <w:br w:type="page"/>
      </w:r>
    </w:p>
    <w:p>
      <w:pPr>
        <w:spacing w:line="440" w:lineRule="exact"/>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w:t>
      </w:r>
      <w:bookmarkEnd w:id="32"/>
    </w:p>
    <w:p>
      <w:pPr>
        <w:spacing w:line="44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  则</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1．说明</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项目的说明见磋商须知前附表。</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上述项目通过</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择优确定壹个成交供应商。</w:t>
      </w:r>
    </w:p>
    <w:p>
      <w:pPr>
        <w:tabs>
          <w:tab w:val="left" w:pos="180"/>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2.资金来源</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采购单位的资金通过前附表第3项获得。</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3.合格条件的要求</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3.1供应商资质等级要求详见本须知前附表第10项。</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供应商合格条件详见本项目采购文件。</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本招标项目采用本须知前附表第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项所述的资格审查方式确定合格供应商。</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4.投标费用</w:t>
      </w:r>
    </w:p>
    <w:p>
      <w:pPr>
        <w:spacing w:line="440" w:lineRule="exact"/>
        <w:ind w:firstLine="489" w:firstLineChars="20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供应商应承担所有与编写和提交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有关的费用。</w:t>
      </w:r>
    </w:p>
    <w:p>
      <w:pPr>
        <w:pStyle w:val="39"/>
        <w:spacing w:line="440" w:lineRule="exact"/>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二、磋商文件</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5.采购文件的组成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rPr>
        <w:t xml:space="preserve">  供应商应认真审阅磋商文件中所有的投标须知、规定格式、技术规范，如果供应商的响应文件不能符合采购人的要求，责任由供应商自负。 </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6.磋商文件的澄清与修改</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6.1供应商若对采购文件有任何疑问，应当在投标截止时间</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日前向采购人提出。采购人将在收到有关问题2日内通过书面形式以解答（包括对询问的解释，但不说明询问的来源）。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6.2 在投标截止之日前，采购人都可能会以补充通知的方式修改竞争性磋商文件。</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6.3 补充通知将通过平台发布，补充通知作为竞争性磋商文件的组成部分，对供应商起约束作用。</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6.4为使供应商在编制响应文件时把补充通知内容考虑进去，采购人将依法延长递交响应文件的截止日期。</w:t>
      </w:r>
    </w:p>
    <w:p>
      <w:pPr>
        <w:pStyle w:val="39"/>
        <w:spacing w:line="440" w:lineRule="exact"/>
        <w:jc w:val="center"/>
        <w:outlineLvl w:val="0"/>
        <w:rPr>
          <w:rFonts w:hAnsi="宋体" w:eastAsia="宋体" w:cs="宋体"/>
          <w:b/>
          <w:bCs/>
          <w:color w:val="auto"/>
          <w:sz w:val="24"/>
          <w:szCs w:val="24"/>
          <w:highlight w:val="none"/>
        </w:rPr>
      </w:pPr>
      <w:r>
        <w:rPr>
          <w:rFonts w:hint="eastAsia" w:hAnsi="宋体" w:eastAsia="宋体" w:cs="宋体"/>
          <w:b/>
          <w:bCs/>
          <w:color w:val="auto"/>
          <w:sz w:val="24"/>
          <w:szCs w:val="24"/>
          <w:highlight w:val="none"/>
        </w:rPr>
        <w:t>三、投标报价说明</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7</w:t>
      </w:r>
      <w:r>
        <w:rPr>
          <w:rFonts w:hint="eastAsia" w:hAnsi="宋体" w:eastAsia="宋体" w:cs="宋体"/>
          <w:b/>
          <w:bCs/>
          <w:color w:val="auto"/>
          <w:sz w:val="24"/>
          <w:szCs w:val="24"/>
          <w:highlight w:val="none"/>
        </w:rPr>
        <w:t>.投标报价</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.1投标总价为</w:t>
      </w:r>
      <w:r>
        <w:rPr>
          <w:rFonts w:hint="eastAsia" w:hAnsi="宋体" w:eastAsia="宋体" w:cs="宋体"/>
          <w:color w:val="auto"/>
          <w:sz w:val="24"/>
          <w:szCs w:val="24"/>
          <w:highlight w:val="none"/>
          <w:lang w:eastAsia="zh-CN"/>
        </w:rPr>
        <w:t>供应商</w:t>
      </w:r>
      <w:r>
        <w:rPr>
          <w:rFonts w:hint="eastAsia" w:hAnsi="宋体" w:eastAsia="宋体" w:cs="宋体"/>
          <w:color w:val="auto"/>
          <w:sz w:val="24"/>
          <w:szCs w:val="24"/>
          <w:highlight w:val="none"/>
        </w:rPr>
        <w:t>在投标文件中提出的各项支付金额的总和。</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.2 投标货币</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rPr>
        <w:t>响应文件中的报价全部采用人民币表示。</w:t>
      </w:r>
    </w:p>
    <w:p>
      <w:pPr>
        <w:pStyle w:val="39"/>
        <w:spacing w:line="440" w:lineRule="exact"/>
        <w:jc w:val="center"/>
        <w:outlineLvl w:val="0"/>
        <w:rPr>
          <w:rFonts w:hAnsi="宋体" w:eastAsia="宋体" w:cs="宋体"/>
          <w:color w:val="auto"/>
          <w:sz w:val="24"/>
          <w:szCs w:val="24"/>
          <w:highlight w:val="none"/>
        </w:rPr>
      </w:pPr>
      <w:r>
        <w:rPr>
          <w:rFonts w:hint="eastAsia" w:hAnsi="宋体" w:eastAsia="宋体" w:cs="宋体"/>
          <w:b/>
          <w:bCs/>
          <w:color w:val="auto"/>
          <w:sz w:val="24"/>
          <w:szCs w:val="24"/>
          <w:highlight w:val="none"/>
        </w:rPr>
        <w:t>四、响应文件的编制</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8</w:t>
      </w:r>
      <w:r>
        <w:rPr>
          <w:rFonts w:hint="eastAsia" w:hAnsi="宋体" w:eastAsia="宋体" w:cs="宋体"/>
          <w:b/>
          <w:bCs/>
          <w:color w:val="auto"/>
          <w:sz w:val="24"/>
          <w:szCs w:val="24"/>
          <w:highlight w:val="none"/>
        </w:rPr>
        <w:t>.响应文件的语言</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响应文件及供应商与采购人之间与投标有关的来往通知、函件和文件均应使用中文。</w:t>
      </w:r>
    </w:p>
    <w:p>
      <w:pPr>
        <w:pStyle w:val="39"/>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w:t>
      </w:r>
      <w:r>
        <w:rPr>
          <w:rFonts w:hint="eastAsia" w:hAnsi="宋体" w:eastAsia="宋体" w:cs="宋体"/>
          <w:color w:val="auto"/>
          <w:sz w:val="24"/>
          <w:szCs w:val="24"/>
          <w:highlight w:val="none"/>
        </w:rPr>
        <w:t>；</w:t>
      </w:r>
    </w:p>
    <w:p>
      <w:pPr>
        <w:pStyle w:val="39"/>
        <w:spacing w:line="440" w:lineRule="exact"/>
        <w:ind w:firstLine="480" w:firstLineChars="200"/>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9.2.3报价报价表；</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供应商资质证明文件；</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辅助资料；</w:t>
      </w:r>
    </w:p>
    <w:p>
      <w:pPr>
        <w:pStyle w:val="39"/>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9.2.6</w:t>
      </w:r>
      <w:r>
        <w:rPr>
          <w:rFonts w:hint="eastAsia"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偏离</w:t>
      </w:r>
      <w:r>
        <w:rPr>
          <w:rFonts w:hint="eastAsia" w:ascii="宋体" w:hAnsi="宋体" w:eastAsia="宋体" w:cs="宋体"/>
          <w:color w:val="auto"/>
          <w:sz w:val="24"/>
          <w:szCs w:val="24"/>
          <w:highlight w:val="none"/>
        </w:rPr>
        <w:t>表</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供应商认为有必要提供的其它资料；</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投标有效期见本须知前附表第12项所规定的期限，在此期限内，凡符合本采购文件要求的响应文件均保持有效。</w:t>
      </w:r>
    </w:p>
    <w:p>
      <w:p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.投标保证金</w:t>
      </w:r>
      <w:r>
        <w:rPr>
          <w:rFonts w:hint="eastAsia" w:ascii="宋体" w:hAnsi="宋体" w:eastAsia="宋体" w:cs="宋体"/>
          <w:b/>
          <w:color w:val="auto"/>
          <w:sz w:val="24"/>
          <w:szCs w:val="24"/>
          <w:highlight w:val="none"/>
          <w:lang w:val="en-US" w:eastAsia="zh-CN"/>
        </w:rPr>
        <w:t xml:space="preserve"> </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.响应文件的份数和签署</w:t>
      </w:r>
    </w:p>
    <w:p>
      <w:pPr>
        <w:spacing w:line="440" w:lineRule="exact"/>
        <w:ind w:firstLine="480" w:firstLineChars="200"/>
        <w:jc w:val="left"/>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.1投标人应按投标人须知规定提交投标文件。</w:t>
      </w:r>
    </w:p>
    <w:p>
      <w:pPr>
        <w:spacing w:line="440" w:lineRule="exact"/>
        <w:ind w:firstLine="480" w:firstLineChars="200"/>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响应文件必须按照响应文件格式要求编制，未按照招标文件格式制作投标文件，此投标文件有被磋商小组拒绝的风险（</w:t>
      </w:r>
      <w:r>
        <w:rPr>
          <w:rFonts w:hint="eastAsia" w:ascii="宋体" w:hAnsi="宋体" w:eastAsia="宋体" w:cs="宋体"/>
          <w:b/>
          <w:bCs w:val="0"/>
          <w:color w:val="auto"/>
          <w:sz w:val="24"/>
          <w:szCs w:val="24"/>
          <w:highlight w:val="none"/>
          <w:lang w:val="en-US" w:eastAsia="zh-CN"/>
        </w:rPr>
        <w:t>注：响应文件须加盖骑缝章且每页均加盖公章，未按要求盖章者为无效响应）。</w:t>
      </w:r>
    </w:p>
    <w:p>
      <w:pPr>
        <w:spacing w:line="44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  标</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.开标</w:t>
      </w:r>
    </w:p>
    <w:p>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开标时，</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响应文件出现下列情形之一的，将由</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13.3.2</w:t>
      </w:r>
      <w:r>
        <w:rPr>
          <w:rFonts w:hint="eastAsia" w:ascii="宋体" w:hAnsi="宋体" w:eastAsia="宋体" w:cs="宋体"/>
          <w:color w:val="auto"/>
          <w:sz w:val="24"/>
          <w:szCs w:val="24"/>
          <w:highlight w:val="none"/>
        </w:rPr>
        <w:t>投标报</w:t>
      </w:r>
      <w:r>
        <w:rPr>
          <w:rFonts w:hint="eastAsia" w:ascii="宋体" w:hAnsi="宋体" w:eastAsia="宋体" w:cs="宋体"/>
          <w:b w:val="0"/>
          <w:bCs w:val="0"/>
          <w:color w:val="auto"/>
          <w:sz w:val="24"/>
          <w:szCs w:val="24"/>
          <w:highlight w:val="none"/>
        </w:rPr>
        <w:t>价不</w:t>
      </w:r>
      <w:r>
        <w:rPr>
          <w:rFonts w:hint="eastAsia" w:ascii="宋体" w:hAnsi="宋体" w:eastAsia="宋体" w:cs="宋体"/>
          <w:color w:val="auto"/>
          <w:sz w:val="24"/>
          <w:szCs w:val="24"/>
          <w:highlight w:val="none"/>
        </w:rPr>
        <w:t>唯一</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13.3.3</w:t>
      </w:r>
      <w:r>
        <w:rPr>
          <w:rFonts w:hint="eastAsia" w:ascii="宋体" w:hAnsi="宋体" w:eastAsia="宋体" w:cs="宋体"/>
          <w:color w:val="auto"/>
          <w:sz w:val="24"/>
          <w:szCs w:val="24"/>
          <w:highlight w:val="none"/>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13.3.4</w:t>
      </w:r>
      <w:r>
        <w:rPr>
          <w:rFonts w:hint="eastAsia" w:ascii="宋体" w:hAnsi="宋体" w:eastAsia="宋体" w:cs="宋体"/>
          <w:color w:val="auto"/>
          <w:sz w:val="24"/>
          <w:szCs w:val="24"/>
          <w:highlight w:val="none"/>
        </w:rPr>
        <w:t>投标有效期不能满足招标要求的；</w:t>
      </w:r>
    </w:p>
    <w:p>
      <w:pPr>
        <w:tabs>
          <w:tab w:val="left" w:pos="1680"/>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13.3.5</w:t>
      </w:r>
      <w:r>
        <w:rPr>
          <w:rFonts w:hint="eastAsia" w:ascii="宋体" w:hAnsi="宋体" w:eastAsia="宋体" w:cs="宋体"/>
          <w:color w:val="auto"/>
          <w:sz w:val="24"/>
          <w:szCs w:val="24"/>
          <w:highlight w:val="none"/>
        </w:rPr>
        <w:t>未实质上响应招标文件的。</w:t>
      </w:r>
    </w:p>
    <w:p>
      <w:pPr>
        <w:pStyle w:val="36"/>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、评   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.评标会议</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.响应文件的符合性评审</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在详细评标之前，</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如果响应文件实质上不响应磋商文件的要求，采购人将予以拒绝，并不允许修正或撤消其不符合要求的差异或保留，使之成为具有响应性的投标。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.错误的修正</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.2  按上述修正错误的方法，调整</w:t>
      </w:r>
      <w:r>
        <w:rPr>
          <w:rFonts w:hint="eastAsia" w:ascii="宋体" w:hAnsi="宋体" w:eastAsia="宋体" w:cs="宋体"/>
          <w:bCs/>
          <w:color w:val="auto"/>
          <w:sz w:val="24"/>
          <w:szCs w:val="24"/>
          <w:highlight w:val="none"/>
          <w:lang w:eastAsia="zh-CN"/>
        </w:rPr>
        <w:t>磋商函</w:t>
      </w:r>
      <w:r>
        <w:rPr>
          <w:rFonts w:hint="eastAsia" w:ascii="宋体" w:hAnsi="宋体" w:eastAsia="宋体" w:cs="宋体"/>
          <w:bCs/>
          <w:color w:val="auto"/>
          <w:sz w:val="24"/>
          <w:szCs w:val="24"/>
          <w:highlight w:val="none"/>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.响应文件的评价与比较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.2评标由磋商小组依据磋商标原则、磋商办法，对供应商的投标报价、企业综合实力、技术部分等进行综合评审和比较。磋商小组完成评标后，向采购人提出书面评标报告并推荐出合格的成交候选人。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 本项目采用的磋商标准附后。</w:t>
      </w:r>
    </w:p>
    <w:p>
      <w:pPr>
        <w:pStyle w:val="36"/>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、合同的授予</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.定标方法</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采购人依据磋商小组推荐的</w:t>
      </w:r>
      <w:r>
        <w:rPr>
          <w:rFonts w:ascii="宋体" w:hAnsi="宋体" w:eastAsia="宋体" w:cs="宋体"/>
          <w:color w:val="auto"/>
          <w:sz w:val="24"/>
          <w:szCs w:val="24"/>
          <w:highlight w:val="none"/>
        </w:rPr>
        <w:t>成交候选人</w:t>
      </w:r>
      <w:r>
        <w:rPr>
          <w:rFonts w:hint="eastAsia" w:ascii="宋体" w:hAnsi="宋体" w:eastAsia="宋体" w:cs="宋体"/>
          <w:color w:val="auto"/>
          <w:sz w:val="24"/>
          <w:szCs w:val="24"/>
          <w:highlight w:val="none"/>
        </w:rPr>
        <w:t>名单</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.成交通知书</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.合同协议书的签订</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.1采购人向成交供应商发出成交通知书之日起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日内，按照采购文件和成交供应商的响应文件与采购人订立书面采购合同，采购人和成交供应商不再行订立背离合同实质性内容的其他协议。</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.3成交供应商应当按照合同约定履行义务，完成中标项目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.合同协议书的签署</w:t>
      </w:r>
    </w:p>
    <w:p>
      <w:pPr>
        <w:spacing w:line="440" w:lineRule="exact"/>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应按成交通知书中规定的日期、时间和地点，由法定代表人或授权代表与采购人代表签定合同。如果</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拒绝签定合同，采购人将有充分的理由废除授标。</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、知识产权和专利权</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.知识产权和专利权 </w:t>
      </w:r>
      <w:r>
        <w:rPr>
          <w:rFonts w:hint="eastAsia" w:ascii="宋体" w:hAnsi="宋体" w:eastAsia="宋体" w:cs="宋体"/>
          <w:color w:val="auto"/>
          <w:sz w:val="24"/>
          <w:szCs w:val="24"/>
          <w:highlight w:val="none"/>
        </w:rPr>
        <w:t xml:space="preserve"> </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应保证，采购人在中华人民共和国接受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.2投标报价应包括所有应支付的对专利权和版权、设计或其他知识产权而需要向其他方支付的版税。</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所有按要求递交响应文件的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视为已知悉并接受上述条款且无异议。</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、其他注意事项</w:t>
      </w:r>
    </w:p>
    <w:p>
      <w:pPr>
        <w:spacing w:line="440" w:lineRule="exact"/>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.需要说明的其他事项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（3）除相关法规规定的情形外，在采购过程中符合要求的供应商或者报价未超过采购预算的供应商不足3家的。</w:t>
      </w:r>
      <w:bookmarkStart w:id="33" w:name="_Toc48107388"/>
      <w:bookmarkStart w:id="34" w:name="_Toc155772393"/>
    </w:p>
    <w:p>
      <w:pPr>
        <w:spacing w:line="440" w:lineRule="exact"/>
        <w:ind w:firstLine="480"/>
        <w:rPr>
          <w:rFonts w:hint="eastAsia"/>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sectPr>
          <w:headerReference r:id="rId4" w:type="default"/>
          <w:footerReference r:id="rId5" w:type="default"/>
          <w:pgSz w:w="11907" w:h="16839"/>
          <w:pgMar w:top="1092" w:right="1717" w:bottom="1154" w:left="1769" w:header="1077" w:footer="993" w:gutter="0"/>
          <w:pgNumType w:fmt="decimal" w:start="1"/>
          <w:cols w:space="720" w:num="1"/>
        </w:sectPr>
      </w:pPr>
    </w:p>
    <w:p>
      <w:pPr>
        <w:numPr>
          <w:ilvl w:val="0"/>
          <w:numId w:val="0"/>
        </w:numPr>
        <w:spacing w:line="440" w:lineRule="exact"/>
        <w:jc w:val="both"/>
        <w:rPr>
          <w:rFonts w:hint="eastAsia" w:eastAsia="宋体"/>
          <w:b/>
          <w:bCs/>
          <w:color w:val="auto"/>
          <w:sz w:val="32"/>
          <w:szCs w:val="32"/>
          <w:highlight w:val="none"/>
          <w:lang w:val="en-US" w:eastAsia="zh-CN"/>
        </w:rPr>
      </w:pPr>
    </w:p>
    <w:p>
      <w:pPr>
        <w:numPr>
          <w:ilvl w:val="0"/>
          <w:numId w:val="0"/>
        </w:numPr>
        <w:spacing w:line="440" w:lineRule="exact"/>
        <w:jc w:val="center"/>
        <w:rPr>
          <w:rFonts w:hint="eastAsia"/>
          <w:b/>
          <w:bCs/>
          <w:color w:val="auto"/>
          <w:sz w:val="32"/>
          <w:szCs w:val="32"/>
          <w:highlight w:val="none"/>
        </w:rPr>
      </w:pPr>
      <w:r>
        <w:rPr>
          <w:rFonts w:hint="eastAsia" w:eastAsia="宋体"/>
          <w:b/>
          <w:bCs/>
          <w:color w:val="auto"/>
          <w:sz w:val="32"/>
          <w:szCs w:val="32"/>
          <w:highlight w:val="none"/>
          <w:lang w:val="en-US" w:eastAsia="zh-CN"/>
        </w:rPr>
        <w:t>第三章</w:t>
      </w:r>
      <w:r>
        <w:rPr>
          <w:rFonts w:hint="eastAsia"/>
          <w:b/>
          <w:bCs/>
          <w:color w:val="auto"/>
          <w:sz w:val="32"/>
          <w:szCs w:val="32"/>
          <w:highlight w:val="none"/>
        </w:rPr>
        <w:t xml:space="preserve"> 采购要求</w:t>
      </w:r>
    </w:p>
    <w:p>
      <w:pPr>
        <w:pStyle w:val="29"/>
        <w:numPr>
          <w:ilvl w:val="0"/>
          <w:numId w:val="0"/>
        </w:numPr>
        <w:ind w:left="2331" w:leftChars="0"/>
        <w:rPr>
          <w:highlight w:val="none"/>
        </w:rPr>
      </w:pPr>
    </w:p>
    <w:p>
      <w:pPr>
        <w:widowControl w:val="0"/>
        <w:wordWrap/>
        <w:adjustRightInd/>
        <w:snapToGrid/>
        <w:spacing w:line="360" w:lineRule="exact"/>
        <w:ind w:right="0"/>
        <w:textAlignment w:val="auto"/>
        <w:rPr>
          <w:rFonts w:ascii="宋体" w:hAnsi="宋体" w:eastAsia="宋体" w:cs="宋体"/>
          <w:sz w:val="28"/>
          <w:szCs w:val="28"/>
          <w:highlight w:val="none"/>
        </w:rPr>
      </w:pPr>
      <w:r>
        <w:rPr>
          <w:rFonts w:hint="eastAsia" w:ascii="宋体" w:hAnsi="宋体" w:eastAsia="宋体" w:cs="宋体"/>
          <w:b/>
          <w:bCs/>
          <w:kern w:val="0"/>
          <w:sz w:val="28"/>
          <w:szCs w:val="28"/>
          <w:highlight w:val="none"/>
          <w:lang w:val="en-US" w:eastAsia="zh-CN"/>
        </w:rPr>
        <w:t>一、项目名称</w:t>
      </w:r>
      <w:r>
        <w:rPr>
          <w:rFonts w:hint="eastAsia" w:ascii="宋体" w:hAnsi="宋体" w:eastAsia="宋体" w:cs="宋体"/>
          <w:b w:val="0"/>
          <w:bCs w:val="0"/>
          <w:kern w:val="0"/>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县级站点建设项目（二次）</w:t>
      </w:r>
    </w:p>
    <w:p>
      <w:pPr>
        <w:widowControl/>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二、项目内容：</w:t>
      </w:r>
    </w:p>
    <w:p>
      <w:pPr>
        <w:pStyle w:val="17"/>
        <w:numPr>
          <w:ilvl w:val="0"/>
          <w:numId w:val="0"/>
        </w:numPr>
        <w:ind w:firstLine="574" w:firstLineChars="200"/>
        <w:rPr>
          <w:rFonts w:hint="eastAsia" w:ascii="宋体" w:hAnsi="宋体" w:eastAsia="宋体" w:cs="宋体"/>
          <w:color w:val="000000"/>
          <w:sz w:val="28"/>
          <w:szCs w:val="28"/>
          <w:highlight w:val="none"/>
          <w:lang w:val="en-US" w:eastAsia="zh-CN" w:bidi="ar"/>
        </w:rPr>
      </w:pPr>
      <w:r>
        <w:rPr>
          <w:rFonts w:hint="eastAsia" w:ascii="宋体" w:hAnsi="宋体" w:eastAsia="宋体" w:cs="宋体"/>
          <w:b/>
          <w:bCs/>
          <w:kern w:val="0"/>
          <w:sz w:val="28"/>
          <w:szCs w:val="28"/>
          <w:highlight w:val="none"/>
          <w:lang w:val="en-US" w:eastAsia="zh-CN"/>
        </w:rPr>
        <w:t>1、</w:t>
      </w:r>
      <w:r>
        <w:rPr>
          <w:rFonts w:hint="eastAsia" w:ascii="宋体" w:hAnsi="宋体" w:eastAsia="宋体" w:cs="宋体"/>
          <w:b w:val="0"/>
          <w:bCs w:val="0"/>
          <w:color w:val="auto"/>
          <w:kern w:val="2"/>
          <w:sz w:val="28"/>
          <w:szCs w:val="28"/>
          <w:highlight w:val="none"/>
          <w:lang w:val="en-US" w:eastAsia="zh-CN" w:bidi="ar-SA"/>
        </w:rPr>
        <w:t>建设内容包括</w:t>
      </w:r>
      <w:r>
        <w:rPr>
          <w:rFonts w:hint="eastAsia" w:ascii="宋体" w:hAnsi="宋体" w:eastAsia="宋体" w:cs="宋体"/>
          <w:color w:val="000000"/>
          <w:sz w:val="28"/>
          <w:szCs w:val="28"/>
          <w:highlight w:val="none"/>
          <w:lang w:val="en-US" w:eastAsia="zh-CN" w:bidi="ar"/>
        </w:rPr>
        <w:t>，急救系统软件安装维护及急救设备安装维护，车载急救终端3台，车载视频终端3台，急救智能终端3台，分站主机2台，传输设备2台等。</w:t>
      </w:r>
    </w:p>
    <w:p>
      <w:pPr>
        <w:pStyle w:val="24"/>
        <w:ind w:left="0" w:leftChars="0" w:firstLine="560" w:firstLineChars="200"/>
        <w:rPr>
          <w:rFonts w:hint="eastAsia" w:ascii="宋体" w:hAnsi="宋体" w:cs="宋体"/>
          <w:b w:val="0"/>
          <w:bCs w:val="0"/>
          <w:kern w:val="0"/>
          <w:sz w:val="28"/>
          <w:szCs w:val="28"/>
          <w:highlight w:val="none"/>
          <w:lang w:val="en-US" w:eastAsia="zh-CN" w:bidi="ar-SA"/>
        </w:rPr>
      </w:pPr>
      <w:r>
        <w:rPr>
          <w:rFonts w:hint="eastAsia" w:ascii="宋体" w:hAnsi="宋体" w:cs="宋体"/>
          <w:b w:val="0"/>
          <w:bCs w:val="0"/>
          <w:kern w:val="0"/>
          <w:sz w:val="28"/>
          <w:szCs w:val="28"/>
          <w:highlight w:val="none"/>
          <w:lang w:val="en-US" w:eastAsia="zh-CN" w:bidi="ar-SA"/>
        </w:rPr>
        <w:t>2、专线和物联网卡相关归属由采购方指定。</w:t>
      </w:r>
    </w:p>
    <w:p>
      <w:pPr>
        <w:pStyle w:val="24"/>
        <w:ind w:left="0" w:leftChars="0" w:firstLine="560" w:firstLineChars="200"/>
        <w:rPr>
          <w:rFonts w:hint="eastAsia" w:ascii="宋体" w:hAnsi="宋体" w:cs="宋体"/>
          <w:b w:val="0"/>
          <w:bCs w:val="0"/>
          <w:kern w:val="0"/>
          <w:sz w:val="28"/>
          <w:szCs w:val="28"/>
          <w:highlight w:val="none"/>
          <w:lang w:val="en-US" w:eastAsia="zh-CN" w:bidi="ar-SA"/>
        </w:rPr>
      </w:pPr>
      <w:r>
        <w:rPr>
          <w:rFonts w:hint="eastAsia" w:ascii="宋体" w:hAnsi="宋体" w:cs="宋体"/>
          <w:b w:val="0"/>
          <w:bCs w:val="0"/>
          <w:kern w:val="0"/>
          <w:sz w:val="28"/>
          <w:szCs w:val="28"/>
          <w:highlight w:val="none"/>
          <w:lang w:val="en-US" w:eastAsia="zh-CN" w:bidi="ar-SA"/>
        </w:rPr>
        <w:t>3、县级120急救电话均需接入市级120急救指挥调度中心。</w:t>
      </w:r>
    </w:p>
    <w:p>
      <w:pPr>
        <w:pStyle w:val="24"/>
        <w:ind w:left="0" w:leftChars="0" w:firstLine="560" w:firstLineChars="200"/>
        <w:rPr>
          <w:rFonts w:hint="eastAsia" w:ascii="宋体" w:hAnsi="宋体" w:cs="宋体"/>
          <w:b w:val="0"/>
          <w:bCs w:val="0"/>
          <w:kern w:val="0"/>
          <w:sz w:val="28"/>
          <w:szCs w:val="28"/>
          <w:highlight w:val="none"/>
          <w:lang w:val="en-US" w:eastAsia="zh-CN" w:bidi="ar-SA"/>
        </w:rPr>
      </w:pPr>
      <w:r>
        <w:rPr>
          <w:rFonts w:hint="eastAsia" w:ascii="宋体" w:hAnsi="宋体" w:cs="宋体"/>
          <w:b w:val="0"/>
          <w:bCs w:val="0"/>
          <w:kern w:val="0"/>
          <w:sz w:val="28"/>
          <w:szCs w:val="28"/>
          <w:highlight w:val="none"/>
          <w:lang w:val="en-US" w:eastAsia="zh-CN" w:bidi="ar-SA"/>
        </w:rPr>
        <w:t>4、急救车辆需按采购方要求张贴车辆二维码。</w:t>
      </w:r>
    </w:p>
    <w:p>
      <w:pPr>
        <w:widowControl w:val="0"/>
        <w:wordWrap/>
        <w:adjustRightInd/>
        <w:snapToGrid/>
        <w:spacing w:line="360" w:lineRule="exact"/>
        <w:ind w:right="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三、服务范围：</w:t>
      </w:r>
      <w:r>
        <w:rPr>
          <w:rFonts w:hint="eastAsia" w:ascii="宋体" w:hAnsi="宋体" w:eastAsia="宋体" w:cs="宋体"/>
          <w:b w:val="0"/>
          <w:bCs w:val="0"/>
          <w:color w:val="auto"/>
          <w:sz w:val="28"/>
          <w:szCs w:val="28"/>
          <w:highlight w:val="none"/>
          <w:lang w:val="en-US" w:eastAsia="zh-CN"/>
        </w:rPr>
        <w:t>采购人指定。</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四、服务要求：</w:t>
      </w:r>
      <w:r>
        <w:rPr>
          <w:rFonts w:hint="eastAsia" w:ascii="宋体" w:hAnsi="宋体" w:eastAsia="宋体" w:cs="宋体"/>
          <w:b w:val="0"/>
          <w:bCs w:val="0"/>
          <w:color w:val="auto"/>
          <w:sz w:val="28"/>
          <w:szCs w:val="28"/>
          <w:highlight w:val="none"/>
          <w:lang w:val="en-US" w:eastAsia="zh-CN"/>
        </w:rPr>
        <w:t>满足采购人使用要求。</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五、质量标准：</w:t>
      </w:r>
      <w:r>
        <w:rPr>
          <w:rFonts w:hint="eastAsia" w:ascii="宋体" w:hAnsi="宋体" w:eastAsia="宋体" w:cs="宋体"/>
          <w:b w:val="0"/>
          <w:bCs w:val="0"/>
          <w:color w:val="auto"/>
          <w:sz w:val="28"/>
          <w:szCs w:val="28"/>
          <w:highlight w:val="none"/>
          <w:lang w:val="en-US" w:eastAsia="zh-CN"/>
        </w:rPr>
        <w:t>合格，满足采购人使用标准。</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六、合同履行期限：</w:t>
      </w:r>
      <w:r>
        <w:rPr>
          <w:rFonts w:hint="eastAsia" w:ascii="宋体" w:hAnsi="宋体" w:eastAsia="宋体" w:cs="宋体"/>
          <w:b w:val="0"/>
          <w:bCs w:val="0"/>
          <w:color w:val="auto"/>
          <w:sz w:val="28"/>
          <w:szCs w:val="28"/>
          <w:highlight w:val="none"/>
          <w:lang w:val="en-US" w:eastAsia="zh-CN"/>
        </w:rPr>
        <w:t>自合同签订之日起30日历天完成</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七、质保期：</w:t>
      </w:r>
      <w:r>
        <w:rPr>
          <w:rFonts w:hint="eastAsia" w:ascii="宋体" w:hAnsi="宋体" w:eastAsia="宋体" w:cs="宋体"/>
          <w:b w:val="0"/>
          <w:bCs w:val="0"/>
          <w:color w:val="auto"/>
          <w:sz w:val="28"/>
          <w:szCs w:val="28"/>
          <w:highlight w:val="none"/>
          <w:lang w:val="en-US" w:eastAsia="zh-CN"/>
        </w:rPr>
        <w:t>3年</w:t>
      </w:r>
    </w:p>
    <w:p>
      <w:pPr>
        <w:widowControl/>
        <w:jc w:val="left"/>
        <w:rPr>
          <w:rFonts w:hint="eastAsia" w:ascii="宋体" w:hAnsi="宋体" w:eastAsia="宋体" w:cs="宋体"/>
          <w:sz w:val="32"/>
          <w:szCs w:val="32"/>
          <w:highlight w:val="none"/>
          <w:lang w:val="en-US" w:eastAsia="zh-CN"/>
        </w:rPr>
      </w:pPr>
      <w:r>
        <w:rPr>
          <w:rFonts w:hint="eastAsia" w:ascii="宋体" w:hAnsi="宋体" w:eastAsia="宋体" w:cs="宋体"/>
          <w:b/>
          <w:bCs/>
          <w:kern w:val="0"/>
          <w:sz w:val="28"/>
          <w:szCs w:val="28"/>
          <w:highlight w:val="none"/>
          <w:lang w:val="en-US" w:eastAsia="zh-CN"/>
        </w:rPr>
        <w:t>八</w:t>
      </w:r>
      <w:r>
        <w:rPr>
          <w:rFonts w:hint="eastAsia" w:ascii="宋体" w:hAnsi="宋体" w:eastAsia="宋体" w:cs="宋体"/>
          <w:b/>
          <w:bCs/>
          <w:kern w:val="0"/>
          <w:sz w:val="28"/>
          <w:szCs w:val="28"/>
          <w:highlight w:val="none"/>
        </w:rPr>
        <w:t>、</w:t>
      </w:r>
      <w:r>
        <w:rPr>
          <w:rFonts w:hint="eastAsia" w:ascii="宋体" w:hAnsi="宋体" w:eastAsia="宋体" w:cs="宋体"/>
          <w:b/>
          <w:bCs/>
          <w:kern w:val="0"/>
          <w:sz w:val="28"/>
          <w:szCs w:val="28"/>
          <w:highlight w:val="none"/>
          <w:lang w:val="en-US" w:eastAsia="zh-CN"/>
        </w:rPr>
        <w:t>建设</w:t>
      </w:r>
      <w:r>
        <w:rPr>
          <w:rFonts w:hint="eastAsia" w:ascii="宋体" w:hAnsi="宋体" w:eastAsia="宋体" w:cs="宋体"/>
          <w:b/>
          <w:sz w:val="28"/>
          <w:szCs w:val="28"/>
          <w:highlight w:val="none"/>
          <w:lang w:val="en-US" w:eastAsia="zh-CN"/>
        </w:rPr>
        <w:t>清单</w:t>
      </w:r>
      <w:r>
        <w:rPr>
          <w:rFonts w:hint="eastAsia" w:ascii="仿宋" w:hAnsi="仿宋" w:eastAsia="仿宋" w:cs="仿宋"/>
          <w:b/>
          <w:bCs/>
          <w:kern w:val="0"/>
          <w:sz w:val="28"/>
          <w:szCs w:val="28"/>
          <w:highlight w:val="none"/>
        </w:rPr>
        <w:t>：</w:t>
      </w:r>
    </w:p>
    <w:tbl>
      <w:tblPr>
        <w:tblStyle w:val="19"/>
        <w:tblW w:w="0" w:type="auto"/>
        <w:tblInd w:w="91" w:type="dxa"/>
        <w:tblLayout w:type="fixed"/>
        <w:tblCellMar>
          <w:top w:w="0" w:type="dxa"/>
          <w:left w:w="108" w:type="dxa"/>
          <w:bottom w:w="0" w:type="dxa"/>
          <w:right w:w="108" w:type="dxa"/>
        </w:tblCellMar>
      </w:tblPr>
      <w:tblGrid>
        <w:gridCol w:w="438"/>
        <w:gridCol w:w="3443"/>
        <w:gridCol w:w="9024"/>
        <w:gridCol w:w="530"/>
        <w:gridCol w:w="648"/>
      </w:tblGrid>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 xml:space="preserve">名称        </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参数/功能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r>
      <w:tr>
        <w:tblPrEx>
          <w:tblCellMar>
            <w:top w:w="0" w:type="dxa"/>
            <w:left w:w="108" w:type="dxa"/>
            <w:bottom w:w="0" w:type="dxa"/>
            <w:right w:w="108" w:type="dxa"/>
          </w:tblCellMar>
        </w:tblPrEx>
        <w:trPr>
          <w:trHeight w:val="0" w:hRule="atLeast"/>
        </w:trPr>
        <w:tc>
          <w:tcPr>
            <w:tcW w:w="38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一、120救护车系统</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rPr>
            </w:pP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01</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分站的救护车通信软件开发</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接收车载终端信息,包括:调度指令,通知单，联系电话，其他管理信息等；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2、反馈定位信息,状态信息，其他管理信息等；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3、记录信息的提交时间；</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4、记录车载终端发送的救护车定位信息,包括:经度,时间,速度,状态等；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5、根据记录的轨迹数据在电子地图上回放车辆的运行轨迹；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6、支持双机热备服务器配置。</w:t>
            </w:r>
          </w:p>
          <w:p>
            <w:pPr>
              <w:keepNext w:val="0"/>
              <w:keepLines w:val="0"/>
              <w:widowControl/>
              <w:suppressLineNumbers w:val="0"/>
              <w:jc w:val="left"/>
              <w:rPr>
                <w:rFonts w:hint="eastAsia" w:ascii="宋体" w:hAnsi="宋体" w:eastAsia="宋体" w:cs="宋体"/>
                <w:color w:val="000000"/>
                <w:kern w:val="0"/>
                <w:sz w:val="22"/>
                <w:szCs w:val="22"/>
                <w:highlight w:val="none"/>
                <w:lang w:val="en-US" w:eastAsia="zh-CN"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highlight w:val="none"/>
                <w:lang w:val="en-US" w:eastAsia="zh-CN" w:bidi="ar"/>
              </w:rPr>
              <w:t>7</w:t>
            </w:r>
            <w:r>
              <w:rPr>
                <w:rFonts w:hint="eastAsia"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eastAsia="zh-CN" w:bidi="ar"/>
              </w:rPr>
              <w:t>提供的软件具有分站的救护通信软件开发著作权。</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02</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车载急救终端</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工作电压：12V或24V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2、系统启动时间：冷启动≤25S，热启动≤2S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3、额定电流：≤12V/1.5A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4、ACC断开状态电流：≤2mA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5、LCD屏尺寸 ：≥7.0 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6、分辨率：≥1024 * 600像素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7、最高显示亮度：≥450cd/㎡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8、处理器：≥8核   主频：≥1.8GHz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9、内置喇叭：功率≥1.5W，抗阻≥8欧姆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10、内置麦克风：可打电话/录音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11、定位：可对接北斗，精度：≤2米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12、存储：≥ 16GB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13、内存：≥ 2GB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14、内置WIFI模块：支持协议：≥ 2.4G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15、支持手机卡全网通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16、USB接口类型: Micro USB</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要求可通过TF卡进行本地升级；</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18、</w:t>
            </w:r>
            <w:r>
              <w:rPr>
                <w:rFonts w:hint="eastAsia" w:ascii="宋体" w:hAnsi="宋体" w:cs="宋体"/>
                <w:color w:val="000000"/>
                <w:kern w:val="0"/>
                <w:sz w:val="22"/>
                <w:szCs w:val="22"/>
                <w:lang w:bidi="ar"/>
              </w:rPr>
              <w:t>要求可通过 WiFi或者内置网络升级，连接云平台进行升级。支持云守护应用程序升级；</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19、</w:t>
            </w:r>
            <w:r>
              <w:rPr>
                <w:rFonts w:hint="eastAsia" w:ascii="宋体" w:hAnsi="宋体" w:cs="宋体"/>
                <w:color w:val="000000"/>
                <w:kern w:val="0"/>
                <w:sz w:val="22"/>
                <w:szCs w:val="22"/>
                <w:lang w:bidi="ar"/>
              </w:rPr>
              <w:t>要求具有分级电源管理，具有省电设计：支持在 ACC OFF时关闭屏幕运行，支持 ACC OFF、电瓶低电时候设备关机，避免电瓶过放；</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20、</w:t>
            </w:r>
            <w:r>
              <w:rPr>
                <w:rFonts w:hint="eastAsia" w:ascii="宋体" w:hAnsi="宋体" w:cs="宋体"/>
                <w:color w:val="000000"/>
                <w:kern w:val="0"/>
                <w:sz w:val="22"/>
                <w:szCs w:val="22"/>
                <w:lang w:bidi="ar"/>
              </w:rPr>
              <w:t>要求支持企业守护平台，企业守护用于后台抓取调试信息，用于开发调试问题使用；</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21、</w:t>
            </w:r>
            <w:r>
              <w:rPr>
                <w:rFonts w:hint="eastAsia" w:ascii="宋体" w:hAnsi="宋体" w:cs="宋体"/>
                <w:color w:val="000000"/>
                <w:kern w:val="0"/>
                <w:sz w:val="22"/>
                <w:szCs w:val="22"/>
                <w:lang w:bidi="ar"/>
              </w:rPr>
              <w:t>要求支持集成安卓标准电话/短信程序；</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22、</w:t>
            </w:r>
            <w:r>
              <w:rPr>
                <w:rFonts w:hint="eastAsia" w:ascii="宋体" w:hAnsi="宋体" w:cs="宋体"/>
                <w:color w:val="000000"/>
                <w:kern w:val="0"/>
                <w:sz w:val="22"/>
                <w:szCs w:val="22"/>
                <w:lang w:bidi="ar"/>
              </w:rPr>
              <w:t>要求支持自动拨号上网；</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23、</w:t>
            </w:r>
            <w:r>
              <w:rPr>
                <w:rFonts w:hint="eastAsia" w:ascii="宋体" w:hAnsi="宋体" w:cs="宋体"/>
                <w:color w:val="000000"/>
                <w:kern w:val="0"/>
                <w:sz w:val="22"/>
                <w:szCs w:val="22"/>
                <w:lang w:bidi="ar"/>
              </w:rPr>
              <w:t>要求可通过移动网络或进行校时、内置 RTC记录设备时间；</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24、</w:t>
            </w:r>
            <w:r>
              <w:rPr>
                <w:rFonts w:hint="eastAsia" w:ascii="宋体" w:hAnsi="宋体" w:cs="宋体"/>
                <w:color w:val="000000"/>
                <w:kern w:val="0"/>
                <w:sz w:val="22"/>
                <w:szCs w:val="22"/>
                <w:lang w:bidi="ar"/>
              </w:rPr>
              <w:t>要求提供 SDK二次开发包；</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25、</w:t>
            </w:r>
            <w:r>
              <w:rPr>
                <w:rFonts w:hint="eastAsia" w:ascii="宋体" w:hAnsi="宋体" w:cs="宋体"/>
                <w:color w:val="000000"/>
                <w:kern w:val="0"/>
                <w:sz w:val="22"/>
                <w:szCs w:val="22"/>
                <w:lang w:bidi="ar"/>
              </w:rPr>
              <w:t>要求预置导航应用；</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26、</w:t>
            </w:r>
            <w:r>
              <w:rPr>
                <w:rFonts w:hint="eastAsia" w:ascii="宋体" w:hAnsi="宋体" w:cs="宋体"/>
                <w:color w:val="000000"/>
                <w:kern w:val="0"/>
                <w:sz w:val="22"/>
                <w:szCs w:val="22"/>
                <w:lang w:bidi="ar"/>
              </w:rPr>
              <w:t>支持蓝牙连接语音通话功能；</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27、</w:t>
            </w:r>
            <w:r>
              <w:rPr>
                <w:rFonts w:hint="eastAsia" w:ascii="宋体" w:hAnsi="宋体" w:cs="宋体"/>
                <w:color w:val="000000"/>
                <w:kern w:val="0"/>
                <w:sz w:val="22"/>
                <w:szCs w:val="22"/>
                <w:lang w:bidi="ar"/>
              </w:rPr>
              <w:t>支持 TTS语音播报；</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28、</w:t>
            </w:r>
            <w:r>
              <w:rPr>
                <w:rFonts w:hint="eastAsia" w:ascii="宋体" w:hAnsi="宋体" w:cs="宋体"/>
                <w:color w:val="000000"/>
                <w:kern w:val="0"/>
                <w:sz w:val="22"/>
                <w:szCs w:val="22"/>
                <w:lang w:bidi="ar"/>
              </w:rPr>
              <w:t>支持音乐和视频播放功能</w:t>
            </w:r>
          </w:p>
          <w:p>
            <w:pPr>
              <w:numPr>
                <w:ilvl w:val="0"/>
                <w:numId w:val="0"/>
              </w:numP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29、</w:t>
            </w:r>
            <w:r>
              <w:rPr>
                <w:rFonts w:hint="eastAsia" w:ascii="宋体" w:hAnsi="宋体" w:cs="宋体"/>
                <w:color w:val="000000"/>
                <w:kern w:val="0"/>
                <w:sz w:val="22"/>
                <w:szCs w:val="22"/>
                <w:lang w:bidi="ar"/>
              </w:rPr>
              <w:t>要求设备支持开机图片、动画、音乐、应用 UI可定制；</w:t>
            </w:r>
          </w:p>
          <w:p>
            <w:pPr>
              <w:numPr>
                <w:ilvl w:val="0"/>
                <w:numId w:val="0"/>
              </w:numPr>
              <w:rPr>
                <w:rFonts w:hint="eastAsia" w:ascii="宋体" w:hAnsi="宋体" w:cs="宋体"/>
                <w:color w:val="000000"/>
                <w:kern w:val="0"/>
                <w:sz w:val="22"/>
                <w:szCs w:val="22"/>
                <w:lang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lang w:val="en-US" w:eastAsia="zh-CN" w:bidi="ar"/>
              </w:rPr>
              <w:t>要求</w:t>
            </w:r>
            <w:r>
              <w:rPr>
                <w:rFonts w:hint="eastAsia" w:ascii="宋体" w:hAnsi="宋体" w:cs="宋体"/>
                <w:color w:val="000000"/>
                <w:kern w:val="0"/>
                <w:sz w:val="22"/>
                <w:szCs w:val="22"/>
                <w:lang w:bidi="ar"/>
              </w:rPr>
              <w:t>提供的软件具有类似120急救车载软件开发著作权；</w:t>
            </w:r>
          </w:p>
          <w:p>
            <w:pPr>
              <w:numPr>
                <w:ilvl w:val="0"/>
                <w:numId w:val="0"/>
              </w:numPr>
              <w:rPr>
                <w:rFonts w:hint="eastAsia" w:ascii="宋体" w:hAnsi="宋体" w:cs="宋体"/>
                <w:color w:val="000000"/>
                <w:kern w:val="0"/>
                <w:sz w:val="22"/>
                <w:szCs w:val="22"/>
                <w:lang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lang w:val="en-US" w:eastAsia="zh-CN" w:bidi="ar"/>
              </w:rPr>
              <w:t>要求</w:t>
            </w:r>
            <w:r>
              <w:rPr>
                <w:rFonts w:hint="eastAsia" w:ascii="宋体" w:hAnsi="宋体" w:cs="宋体"/>
                <w:color w:val="000000"/>
                <w:kern w:val="0"/>
                <w:sz w:val="22"/>
                <w:szCs w:val="22"/>
                <w:lang w:bidi="ar"/>
              </w:rPr>
              <w:t>提供的软件具有类似一路护航车载系统软件开发著作权；</w:t>
            </w:r>
          </w:p>
          <w:p>
            <w:pPr>
              <w:numPr>
                <w:ilvl w:val="0"/>
                <w:numId w:val="0"/>
              </w:numPr>
              <w:rPr>
                <w:rFonts w:hint="eastAsia" w:ascii="宋体" w:hAnsi="宋体" w:cs="宋体"/>
                <w:color w:val="000000"/>
                <w:kern w:val="0"/>
                <w:sz w:val="22"/>
                <w:szCs w:val="22"/>
                <w:lang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lang w:val="en-US" w:eastAsia="zh-CN" w:bidi="ar"/>
              </w:rPr>
              <w:t>要求</w:t>
            </w:r>
            <w:r>
              <w:rPr>
                <w:rFonts w:hint="eastAsia" w:ascii="宋体" w:hAnsi="宋体" w:cs="宋体"/>
                <w:color w:val="000000"/>
                <w:kern w:val="0"/>
                <w:sz w:val="22"/>
                <w:szCs w:val="22"/>
                <w:lang w:bidi="ar"/>
              </w:rPr>
              <w:t>提供本车载急救终端设备与市级120平台对接的技术方案；</w:t>
            </w:r>
          </w:p>
          <w:p>
            <w:pPr>
              <w:widowControl/>
              <w:numPr>
                <w:ilvl w:val="0"/>
                <w:numId w:val="0"/>
              </w:numPr>
              <w:jc w:val="left"/>
              <w:textAlignment w:val="center"/>
              <w:rPr>
                <w:rFonts w:hint="eastAsia" w:ascii="宋体" w:hAnsi="宋体" w:cs="宋体"/>
                <w:color w:val="000000"/>
                <w:kern w:val="0"/>
                <w:sz w:val="22"/>
                <w:szCs w:val="22"/>
                <w:lang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lang w:val="en-US" w:eastAsia="zh-CN" w:bidi="ar"/>
              </w:rPr>
              <w:t>要求</w:t>
            </w:r>
            <w:r>
              <w:rPr>
                <w:rFonts w:hint="eastAsia" w:ascii="宋体" w:hAnsi="宋体" w:cs="宋体"/>
                <w:color w:val="000000"/>
                <w:kern w:val="0"/>
                <w:sz w:val="22"/>
                <w:szCs w:val="22"/>
                <w:lang w:bidi="ar"/>
              </w:rPr>
              <w:t>提供车载急救终端的相关设备检测报告。</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03</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车载视频终端</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1、设备类型：视频输入≥4*1080P；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2、硬盘：≥2T硬盘，支持扩展硬盘盒；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3、通信：全网通；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4、支持WIFI；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5、画面分割：支持1/4画面；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6、音频输入：支持≥4路航空头/≥1路语音对讲；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7、音频输出:支持≥1路航空头/≥1路语音对讲；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8、支持语音对讲:1路有源麦克风输入，1路语音输出；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9、支持多路回放:≥4路同时回放；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10、报警输入:6路及以上报警输入；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11、报警输出:2路及以上报警输出；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12、支持USB接口:2.0接口；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13、支持网络接口: RJ45；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14、支持VGA显示器接口；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15、支持扩展SD卡插槽；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16、电源:6V-36V自适应；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17、使用温度:支持在温度范围为-35℃~+60℃的环境下工作；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18、使用湿度:支持在湿度范围为10%～95%的环境下工作；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19、安装方式:台式安装或嵌入式安装。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20、驾驶舱摄像头1个、医疗舱摄像头1个,200万高清红外半球型网络摄像头，镜头:≥2.8mm，内置麦克风，支持POE供电方式。 </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04</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急救智能终端</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1、提供屏幕尺寸≥6.6英寸；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2、提供运行内存≥4GB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3、提供储存≥64GB；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4、手机卡支持全网通。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eastAsia="zh-CN" w:bidi="ar"/>
              </w:rPr>
              <w:t>分站的</w:t>
            </w:r>
            <w:r>
              <w:rPr>
                <w:rFonts w:hint="eastAsia" w:ascii="宋体" w:hAnsi="宋体" w:cs="宋体"/>
                <w:color w:val="000000"/>
                <w:kern w:val="0"/>
                <w:sz w:val="22"/>
                <w:szCs w:val="22"/>
                <w:highlight w:val="none"/>
                <w:lang w:val="en-US" w:eastAsia="zh-CN" w:bidi="ar"/>
              </w:rPr>
              <w:t>APP端病历软件</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5"/>
              </w:numPr>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开发APP客户端。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2、支持APP客户端必须与PC端病历模式匹配。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3、支持一键同步字典数据：一键从中心数据库下载字典数据。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4、支持任务数据筛选：按照时间筛选任务信息。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5、支持同步获取调度中心相关数据：新增病历的时候，可以默认加载对应任务相关的调度信息。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6、支持点选方式录入数据：整份病历填写百分之六十使用点选框。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7、支持按照“基础信息”、“体格检查”、“辅助检查”、“外科检查”、“诊断信息”、“救治措施”等模块分别填写。</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8、支持现病史模板：≥34个现病史模板。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9、支持外伤检查人体图。</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10、支持救治措施默认关联药品耗材可与PC端同步。</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11、支持附加多媒体信息功能，可上传图片、录音，并与急救事件关联，填报电子病历。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12、提供本地离线缓存功能。 </w:t>
            </w:r>
          </w:p>
          <w:p>
            <w:pPr>
              <w:widowControl/>
              <w:numPr>
                <w:ilvl w:val="0"/>
                <w:numId w:val="0"/>
              </w:numPr>
              <w:jc w:val="left"/>
              <w:textAlignment w:val="center"/>
              <w:rPr>
                <w:rFonts w:hint="eastAsia" w:ascii="宋体" w:hAnsi="宋体" w:eastAsia="宋体" w:cs="宋体"/>
                <w:color w:val="000000"/>
                <w:kern w:val="0"/>
                <w:sz w:val="22"/>
                <w:szCs w:val="22"/>
                <w:highlight w:val="none"/>
                <w:lang w:val="en-US" w:eastAsia="zh-CN"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highlight w:val="none"/>
                <w:lang w:val="en-US" w:eastAsia="zh-CN" w:bidi="ar"/>
              </w:rPr>
              <w:t>13</w:t>
            </w:r>
            <w:r>
              <w:rPr>
                <w:rFonts w:hint="eastAsia"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eastAsia="zh-CN" w:bidi="ar"/>
              </w:rPr>
              <w:t>提供的软件具有类似电子病历软件著作权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0" w:hRule="atLeast"/>
        </w:trPr>
        <w:tc>
          <w:tcPr>
            <w:tcW w:w="38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二、急救分站</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rPr>
            </w:pPr>
          </w:p>
        </w:tc>
      </w:tr>
      <w:tr>
        <w:tblPrEx>
          <w:tblCellMar>
            <w:top w:w="0" w:type="dxa"/>
            <w:left w:w="108" w:type="dxa"/>
            <w:bottom w:w="0" w:type="dxa"/>
            <w:right w:w="108" w:type="dxa"/>
          </w:tblCellMar>
        </w:tblPrEx>
        <w:trPr>
          <w:trHeight w:val="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01</w:t>
            </w:r>
          </w:p>
        </w:tc>
        <w:tc>
          <w:tcPr>
            <w:tcW w:w="34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分站主机</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满足显示提示功能</w:t>
            </w:r>
          </w:p>
          <w:p>
            <w:pPr>
              <w:pStyle w:val="2"/>
              <w:rPr>
                <w:rFonts w:hint="default"/>
                <w:lang w:val="en-US" w:eastAsia="zh-CN"/>
              </w:rPr>
            </w:pPr>
            <w:r>
              <w:rPr>
                <w:rFonts w:ascii="宋体" w:hAnsi="宋体" w:eastAsia="宋体" w:cs="宋体"/>
                <w:color w:val="000000"/>
                <w:kern w:val="0"/>
                <w:sz w:val="20"/>
                <w:szCs w:val="20"/>
                <w:lang w:val="en-US" w:eastAsia="zh-CN" w:bidi="ar"/>
              </w:rPr>
              <w:t>▲</w:t>
            </w:r>
            <w:r>
              <w:rPr>
                <w:rFonts w:hint="eastAsia" w:cs="宋体"/>
                <w:color w:val="000000"/>
                <w:sz w:val="22"/>
                <w:szCs w:val="22"/>
                <w:lang w:val="en-US" w:eastAsia="zh-CN"/>
              </w:rPr>
              <w:t>需出具承诺函，设备品牌型号满足招标人要求</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02</w:t>
            </w:r>
          </w:p>
        </w:tc>
        <w:tc>
          <w:tcPr>
            <w:tcW w:w="34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传输设备</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满足传输输出功能</w:t>
            </w:r>
          </w:p>
          <w:p>
            <w:pPr>
              <w:pStyle w:val="2"/>
              <w:rPr>
                <w:rFonts w:hint="eastAsia"/>
                <w:lang w:eastAsia="zh-CN"/>
              </w:rPr>
            </w:pPr>
            <w:r>
              <w:rPr>
                <w:rFonts w:ascii="宋体" w:hAnsi="宋体" w:eastAsia="宋体" w:cs="宋体"/>
                <w:color w:val="000000"/>
                <w:kern w:val="0"/>
                <w:sz w:val="20"/>
                <w:szCs w:val="20"/>
                <w:lang w:val="en-US" w:eastAsia="zh-CN" w:bidi="ar"/>
              </w:rPr>
              <w:t>▲</w:t>
            </w:r>
            <w:r>
              <w:rPr>
                <w:rFonts w:hint="eastAsia" w:cs="宋体"/>
                <w:color w:val="000000"/>
                <w:sz w:val="22"/>
                <w:szCs w:val="22"/>
                <w:lang w:val="en-US" w:eastAsia="zh-CN"/>
              </w:rPr>
              <w:t>需出具承诺函，设备品牌型号满足招标人要求</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03</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分站组网设备</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提供POE供电型交换机，千兆poe网口≥4个</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04</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分站摄像头</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网络高速球机≥200万像素，含支架安装。</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05</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分站防雷击插排</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1、插孔数量:≥八位组合孔；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2、额定电压:220V；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3、额定电流:≥10A；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4、额定功率:≥2500W；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5、防雷击和抗电涌；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6、全长≥3米。</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06</w:t>
            </w:r>
          </w:p>
        </w:tc>
        <w:tc>
          <w:tcPr>
            <w:tcW w:w="3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eastAsia="zh-CN" w:bidi="ar"/>
              </w:rPr>
              <w:t>分站的接警急救软件开发</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登录要求：多种模式登陆，只显示工号，只显示姓名，既显示工号又显示姓名；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2、主界面显示要求：配置成一屏显示则地图屏和收单屏幕合并，如果配置成两屏则单独显示；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3、可接收出车命令单；</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4、可接收通知单要求；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5、地图信息要求：收到标注现场地址的命令，自动标注事发地点。地图模块自动筛选本站车辆，查看本站车辆当前位置；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6、提供历史命令单、通知单查询；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7、支持响铃告警；</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8、支持自动打印；</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9、支持命令单格式自定义。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10、支持急救病历回填；</w:t>
            </w:r>
          </w:p>
          <w:p>
            <w:pPr>
              <w:widowControl/>
              <w:numPr>
                <w:ilvl w:val="0"/>
                <w:numId w:val="0"/>
              </w:numPr>
              <w:jc w:val="left"/>
              <w:textAlignment w:val="center"/>
              <w:rPr>
                <w:rFonts w:hint="default" w:ascii="宋体" w:hAnsi="宋体" w:eastAsia="宋体" w:cs="宋体"/>
                <w:color w:val="000000"/>
                <w:kern w:val="0"/>
                <w:sz w:val="22"/>
                <w:szCs w:val="22"/>
                <w:highlight w:val="none"/>
                <w:lang w:val="en-US" w:eastAsia="zh-CN" w:bidi="ar"/>
              </w:rPr>
            </w:pPr>
            <w:r>
              <w:rPr>
                <w:rFonts w:ascii="宋体" w:hAnsi="宋体" w:eastAsia="宋体" w:cs="宋体"/>
                <w:color w:val="000000"/>
                <w:kern w:val="0"/>
                <w:sz w:val="20"/>
                <w:szCs w:val="20"/>
                <w:lang w:val="en-US" w:eastAsia="zh-CN" w:bidi="ar"/>
              </w:rPr>
              <w:t>▲</w:t>
            </w:r>
            <w:r>
              <w:rPr>
                <w:rFonts w:hint="eastAsia" w:ascii="宋体" w:hAnsi="宋体" w:cs="宋体"/>
                <w:color w:val="000000"/>
                <w:kern w:val="0"/>
                <w:sz w:val="22"/>
                <w:szCs w:val="22"/>
                <w:highlight w:val="none"/>
                <w:lang w:val="en-US" w:eastAsia="zh-CN" w:bidi="ar"/>
              </w:rPr>
              <w:t>11</w:t>
            </w:r>
            <w:r>
              <w:rPr>
                <w:rFonts w:hint="eastAsia" w:ascii="宋体" w:hAnsi="宋体" w:cs="宋体"/>
                <w:color w:val="000000"/>
                <w:kern w:val="0"/>
                <w:sz w:val="22"/>
                <w:szCs w:val="22"/>
                <w:highlight w:val="none"/>
                <w:lang w:bidi="ar"/>
              </w:rPr>
              <w:t>、</w:t>
            </w:r>
            <w:r>
              <w:rPr>
                <w:rFonts w:hint="eastAsia" w:ascii="宋体" w:hAnsi="宋体" w:eastAsia="宋体" w:cs="宋体"/>
                <w:sz w:val="22"/>
                <w:szCs w:val="22"/>
                <w:highlight w:val="none"/>
                <w:lang w:val="en-US" w:eastAsia="zh-CN"/>
              </w:rPr>
              <w:t>提供的软件具有120分站受理软件著作权证书</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07</w:t>
            </w:r>
          </w:p>
        </w:tc>
        <w:tc>
          <w:tcPr>
            <w:tcW w:w="3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bidi="ar"/>
              </w:rPr>
              <w:t>分站</w:t>
            </w:r>
            <w:r>
              <w:rPr>
                <w:rFonts w:hint="eastAsia" w:ascii="宋体" w:hAnsi="宋体" w:cs="宋体"/>
                <w:color w:val="000000"/>
                <w:kern w:val="0"/>
                <w:sz w:val="22"/>
                <w:szCs w:val="22"/>
                <w:highlight w:val="none"/>
                <w:lang w:eastAsia="zh-CN" w:bidi="ar"/>
              </w:rPr>
              <w:t>的</w:t>
            </w:r>
            <w:r>
              <w:rPr>
                <w:rFonts w:hint="eastAsia" w:ascii="宋体" w:hAnsi="宋体" w:cs="宋体"/>
                <w:color w:val="000000"/>
                <w:kern w:val="0"/>
                <w:sz w:val="22"/>
                <w:szCs w:val="22"/>
                <w:highlight w:val="none"/>
                <w:lang w:bidi="ar"/>
              </w:rPr>
              <w:t>电子病历软件</w:t>
            </w:r>
            <w:r>
              <w:rPr>
                <w:rFonts w:hint="eastAsia" w:ascii="宋体" w:hAnsi="宋体" w:cs="宋体"/>
                <w:color w:val="000000"/>
                <w:kern w:val="0"/>
                <w:sz w:val="22"/>
                <w:szCs w:val="22"/>
                <w:highlight w:val="none"/>
                <w:lang w:eastAsia="zh-CN" w:bidi="ar"/>
              </w:rPr>
              <w:t>开发</w:t>
            </w:r>
          </w:p>
        </w:tc>
        <w:tc>
          <w:tcPr>
            <w:tcW w:w="90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支持以下功能：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1.分站电子病历登录。</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2.分站电子病历采集。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3.电子病历数据查询。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4.电子病历审核。</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5.电子病历打印。</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6.出车记录单填写。</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7.出车记录单查询。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8.出车记录单审核。</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9.出车记录单打印。</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0" w:hRule="atLeast"/>
        </w:trPr>
        <w:tc>
          <w:tcPr>
            <w:tcW w:w="38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三、系统通信和数据卡</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highlight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highlight w:val="none"/>
              </w:rPr>
            </w:pP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分站专线（区县分站与沧州市120急救指挥调度中心平台）</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提供分站物理专线：点对点专线（分站到市中心平台）≥10M</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条/3年</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救护车终端数据卡</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提供≥80G流量，≥500分钟通话，3张。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1、SIM卡（急救车载信息终端）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2、SIM卡（视频车载信息终端）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3、SIM卡（急救智能终端）</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套/3年</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网络配件</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提供安装配件</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tblPrEx>
          <w:tblCellMar>
            <w:top w:w="0" w:type="dxa"/>
            <w:left w:w="108" w:type="dxa"/>
            <w:bottom w:w="0" w:type="dxa"/>
            <w:right w:w="108" w:type="dxa"/>
          </w:tblCellMar>
        </w:tblPrEx>
        <w:trPr>
          <w:trHeight w:val="0" w:hRule="atLeast"/>
        </w:trPr>
        <w:tc>
          <w:tcPr>
            <w:tcW w:w="388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四、项目建设</w:t>
            </w:r>
          </w:p>
        </w:tc>
        <w:tc>
          <w:tcPr>
            <w:tcW w:w="90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color w:val="000000"/>
                <w:sz w:val="22"/>
                <w:szCs w:val="22"/>
                <w:highlight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
                <w:bCs/>
                <w:color w:val="000000"/>
                <w:sz w:val="22"/>
                <w:szCs w:val="22"/>
                <w:highlight w:val="none"/>
              </w:rPr>
            </w:pP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01</w:t>
            </w:r>
          </w:p>
        </w:tc>
        <w:tc>
          <w:tcPr>
            <w:tcW w:w="124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市平台云资源硬件升级</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年</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02</w:t>
            </w:r>
          </w:p>
        </w:tc>
        <w:tc>
          <w:tcPr>
            <w:tcW w:w="124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支持市平台软件对接、升级等技术服务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项 </w:t>
            </w:r>
          </w:p>
        </w:tc>
      </w:tr>
      <w:tr>
        <w:tblPrEx>
          <w:tblCellMar>
            <w:top w:w="0" w:type="dxa"/>
            <w:left w:w="108" w:type="dxa"/>
            <w:bottom w:w="0" w:type="dxa"/>
            <w:right w:w="108" w:type="dxa"/>
          </w:tblCellMar>
        </w:tblPrEx>
        <w:trPr>
          <w:trHeight w:val="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03</w:t>
            </w:r>
          </w:p>
        </w:tc>
        <w:tc>
          <w:tcPr>
            <w:tcW w:w="124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eastAsia="zh-CN" w:bidi="ar"/>
              </w:rPr>
              <w:t>系统</w:t>
            </w:r>
            <w:r>
              <w:rPr>
                <w:rFonts w:hint="eastAsia" w:ascii="宋体" w:hAnsi="宋体" w:cs="宋体"/>
                <w:color w:val="000000"/>
                <w:kern w:val="0"/>
                <w:sz w:val="22"/>
                <w:szCs w:val="22"/>
                <w:highlight w:val="none"/>
                <w:lang w:bidi="ar"/>
              </w:rPr>
              <w:t>集成服务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项 </w:t>
            </w:r>
          </w:p>
        </w:tc>
      </w:tr>
    </w:tbl>
    <w:p>
      <w:pPr>
        <w:rPr>
          <w:highlight w:val="none"/>
        </w:rPr>
      </w:pPr>
    </w:p>
    <w:p>
      <w:pPr>
        <w:spacing w:before="96" w:line="219" w:lineRule="auto"/>
        <w:outlineLvl w:val="0"/>
        <w:rPr>
          <w:rFonts w:hint="eastAsia" w:ascii="宋体" w:hAnsi="宋体" w:eastAsia="宋体" w:cs="宋体"/>
          <w:b/>
          <w:bCs/>
          <w:spacing w:val="-21"/>
          <w:sz w:val="28"/>
          <w:szCs w:val="28"/>
          <w:highlight w:val="none"/>
          <w:lang w:eastAsia="zh-CN"/>
        </w:rPr>
      </w:pPr>
      <w:r>
        <w:rPr>
          <w:rFonts w:hint="eastAsia" w:ascii="宋体" w:hAnsi="宋体" w:eastAsia="宋体" w:cs="宋体"/>
          <w:b/>
          <w:bCs/>
          <w:spacing w:val="-21"/>
          <w:sz w:val="28"/>
          <w:szCs w:val="28"/>
          <w:highlight w:val="none"/>
          <w:lang w:val="en-US" w:eastAsia="zh-CN"/>
        </w:rPr>
        <w:t>九、</w:t>
      </w:r>
      <w:r>
        <w:rPr>
          <w:rFonts w:ascii="宋体" w:hAnsi="宋体" w:eastAsia="宋体" w:cs="宋体"/>
          <w:b/>
          <w:bCs/>
          <w:spacing w:val="-21"/>
          <w:sz w:val="28"/>
          <w:szCs w:val="28"/>
          <w:highlight w:val="none"/>
        </w:rPr>
        <w:t>商务要求</w:t>
      </w:r>
      <w:r>
        <w:rPr>
          <w:rFonts w:hint="eastAsia" w:ascii="宋体" w:hAnsi="宋体" w:eastAsia="宋体" w:cs="宋体"/>
          <w:b/>
          <w:bCs/>
          <w:spacing w:val="-21"/>
          <w:sz w:val="28"/>
          <w:szCs w:val="28"/>
          <w:highlight w:val="none"/>
          <w:lang w:eastAsia="zh-CN"/>
        </w:rPr>
        <w:t>：</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1、磋商报价</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1.1、磋商以人民币报价。供应商递交的响应文件中的报价作为参考价，最终报价在磋商后由供应商报出并公布。</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1.2、本项目预算为21万元，系统集成费不得高于磋商报价的10%，磋商报价超出预算的供应商取消磋商资格。</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1.3、磋商报价必须包含软硬件设备本身价、安装调试费、售后服务、培训、运输、保险及各种税金等所有费用。</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2、售后服务：</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2.1成交供应商在应用系统验收后选派一人驻场，提供36个月的售后服务和免费技术服务。基础硬件提供36个月售后服务和免费技术支持。提供7×24小时电话咨询服务，重大故障2小时内维修人员到达现场处理(相关售后服务内容需提供承诺函）。</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2.2质保期结束后：成交供应商对系统的缺陷修复免费，对系统的升级仅收取成本费。基础硬件产品成交供应商根据采购人要求进行有偿维护和修理，承诺免费提供设备维修服务，对提供的配件、材料仅收取成本费。</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3、培训：采购人预先指定系统管理员，全程参与项目的安装、调试；成交供应商采用集体上课、个别答疑的办法培训对本项目的使用者提供使用培训；对领导等重点用户，采用个别辅导的办法进行培训。</w:t>
      </w:r>
    </w:p>
    <w:p>
      <w:pPr>
        <w:rPr>
          <w:rFonts w:hint="eastAsia" w:ascii="宋体" w:hAnsi="宋体" w:eastAsia="宋体" w:cs="宋体"/>
          <w:bCs/>
          <w:color w:val="auto"/>
          <w:sz w:val="32"/>
          <w:szCs w:val="32"/>
          <w:highlight w:val="none"/>
          <w:lang w:val="en-US" w:eastAsia="zh-CN"/>
        </w:rPr>
        <w:sectPr>
          <w:pgSz w:w="16839" w:h="11907" w:orient="landscape"/>
          <w:pgMar w:top="1769" w:right="1092" w:bottom="1717" w:left="1154" w:header="1077" w:footer="993" w:gutter="0"/>
          <w:pgNumType w:fmt="decimal" w:start="1"/>
          <w:cols w:space="720" w:num="1"/>
        </w:sectPr>
      </w:pPr>
      <w:r>
        <w:rPr>
          <w:rFonts w:hint="eastAsia" w:ascii="宋体" w:hAnsi="宋体" w:cs="宋体"/>
          <w:b/>
          <w:bCs/>
          <w:snapToGrid w:val="0"/>
          <w:color w:val="000000"/>
          <w:kern w:val="0"/>
          <w:sz w:val="24"/>
          <w:szCs w:val="24"/>
          <w:lang w:val="en-US" w:eastAsia="zh-CN" w:bidi="ar"/>
        </w:rPr>
        <w:t>注：标*为项目重要指标，</w:t>
      </w:r>
      <w:r>
        <w:rPr>
          <w:rFonts w:hint="eastAsia" w:ascii="宋体" w:hAnsi="宋体" w:cs="宋体"/>
          <w:b/>
          <w:bCs/>
          <w:snapToGrid w:val="0"/>
          <w:color w:val="000000"/>
          <w:kern w:val="0"/>
          <w:sz w:val="24"/>
          <w:szCs w:val="24"/>
          <w:lang w:bidi="ar"/>
        </w:rPr>
        <w:t>投标人有一项不满足的即为无效投标</w:t>
      </w:r>
      <w:r>
        <w:rPr>
          <w:rFonts w:hint="eastAsia" w:ascii="宋体" w:hAnsi="宋体" w:eastAsia="宋体" w:cs="宋体"/>
          <w:b/>
          <w:bCs/>
          <w:snapToGrid w:val="0"/>
          <w:color w:val="000000"/>
          <w:kern w:val="0"/>
          <w:sz w:val="24"/>
          <w:szCs w:val="24"/>
          <w:lang w:eastAsia="zh-CN" w:bidi="ar"/>
        </w:rPr>
        <w:t>。</w:t>
      </w:r>
    </w:p>
    <w:p>
      <w:pPr>
        <w:rPr>
          <w:rFonts w:hint="eastAsia" w:ascii="宋体" w:hAnsi="宋体" w:cs="宋体"/>
          <w:bCs/>
          <w:color w:val="auto"/>
          <w:sz w:val="32"/>
          <w:szCs w:val="32"/>
          <w:highlight w:val="none"/>
        </w:rPr>
      </w:pPr>
    </w:p>
    <w:p>
      <w:pPr>
        <w:pStyle w:val="4"/>
        <w:numPr>
          <w:ilvl w:val="0"/>
          <w:numId w:val="0"/>
        </w:numPr>
        <w:jc w:val="both"/>
        <w:rPr>
          <w:rFonts w:ascii="宋体" w:hAnsi="宋体" w:cs="宋体"/>
          <w:bCs/>
          <w:color w:val="auto"/>
          <w:sz w:val="32"/>
          <w:szCs w:val="32"/>
          <w:highlight w:val="none"/>
        </w:rPr>
      </w:pPr>
      <w:r>
        <w:rPr>
          <w:rFonts w:hint="eastAsia" w:ascii="宋体" w:hAnsi="宋体" w:cs="宋体"/>
          <w:bCs/>
          <w:color w:val="auto"/>
          <w:sz w:val="32"/>
          <w:szCs w:val="32"/>
          <w:highlight w:val="none"/>
        </w:rPr>
        <w:t>响应文件格式</w:t>
      </w:r>
      <w:bookmarkEnd w:id="33"/>
      <w:bookmarkEnd w:id="34"/>
    </w:p>
    <w:p>
      <w:pPr>
        <w:rPr>
          <w:color w:val="auto"/>
          <w:highlight w:val="none"/>
        </w:rPr>
      </w:pPr>
    </w:p>
    <w:p>
      <w:pPr>
        <w:ind w:firstLine="6120" w:firstLineChars="2550"/>
        <w:rPr>
          <w:rFonts w:ascii="宋体" w:hAnsi="宋体" w:eastAsia="宋体" w:cs="宋体"/>
          <w:color w:val="auto"/>
          <w:sz w:val="24"/>
          <w:szCs w:val="24"/>
          <w:highlight w:val="none"/>
        </w:rPr>
      </w:pPr>
    </w:p>
    <w:p>
      <w:pPr>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正本（副本）</w:t>
      </w:r>
    </w:p>
    <w:p>
      <w:pPr>
        <w:jc w:val="center"/>
        <w:rPr>
          <w:rFonts w:hint="eastAsia" w:ascii="宋体" w:hAnsi="宋体" w:eastAsia="宋体" w:cs="宋体"/>
          <w:color w:val="auto"/>
          <w:sz w:val="48"/>
          <w:szCs w:val="48"/>
          <w:highlight w:val="none"/>
          <w:lang w:val="en-US" w:eastAsia="zh-CN"/>
        </w:rPr>
      </w:pPr>
    </w:p>
    <w:p>
      <w:pPr>
        <w:jc w:val="center"/>
        <w:rPr>
          <w:rFonts w:hint="eastAsia" w:ascii="宋体" w:hAnsi="宋体" w:eastAsia="宋体" w:cs="宋体"/>
          <w:color w:val="auto"/>
          <w:sz w:val="48"/>
          <w:szCs w:val="48"/>
          <w:highlight w:val="none"/>
          <w:lang w:val="en-US" w:eastAsia="zh-CN"/>
        </w:rPr>
      </w:pPr>
    </w:p>
    <w:p>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48"/>
          <w:szCs w:val="48"/>
          <w:highlight w:val="none"/>
          <w:lang w:val="en-US" w:eastAsia="zh-CN"/>
        </w:rPr>
        <w:t>县级站点建设项目（二次）</w:t>
      </w:r>
    </w:p>
    <w:p>
      <w:pPr>
        <w:rPr>
          <w:rFonts w:ascii="宋体" w:hAnsi="宋体" w:eastAsia="宋体" w:cs="宋体"/>
          <w:color w:val="auto"/>
          <w:sz w:val="32"/>
          <w:szCs w:val="32"/>
          <w:highlight w:val="none"/>
        </w:rPr>
      </w:pPr>
    </w:p>
    <w:p>
      <w:pPr>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 应 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(盖章)</w:t>
      </w:r>
    </w:p>
    <w:p>
      <w:pPr>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eastAsia="zh-CN"/>
        </w:rPr>
        <w:t>或盖章</w:t>
      </w:r>
      <w:r>
        <w:rPr>
          <w:rFonts w:hint="eastAsia" w:ascii="宋体" w:hAnsi="宋体" w:eastAsia="宋体" w:cs="宋体"/>
          <w:color w:val="auto"/>
          <w:sz w:val="28"/>
          <w:szCs w:val="28"/>
          <w:highlight w:val="none"/>
          <w:u w:val="single"/>
        </w:rPr>
        <w:t>)</w:t>
      </w:r>
    </w:p>
    <w:p>
      <w:pPr>
        <w:ind w:firstLine="840" w:firstLineChars="3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lang w:val="en-US" w:eastAsia="zh-CN"/>
        </w:rPr>
        <w:t>联系电话：</w:t>
      </w:r>
      <w:r>
        <w:rPr>
          <w:rFonts w:hint="eastAsia" w:ascii="宋体" w:hAnsi="宋体" w:eastAsia="宋体" w:cs="宋体"/>
          <w:color w:val="auto"/>
          <w:sz w:val="28"/>
          <w:szCs w:val="28"/>
          <w:highlight w:val="none"/>
          <w:u w:val="single"/>
          <w:lang w:val="en-US" w:eastAsia="zh-CN"/>
        </w:rPr>
        <w:t xml:space="preserve">                                     </w:t>
      </w: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36"/>
        <w:ind w:firstLine="560"/>
        <w:rPr>
          <w:rFonts w:eastAsia="宋体" w:cs="宋体"/>
          <w:color w:val="auto"/>
          <w:sz w:val="28"/>
          <w:szCs w:val="28"/>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left="0" w:leftChars="0" w:firstLine="0" w:firstLineChars="0"/>
        <w:rPr>
          <w:rFonts w:eastAsia="宋体" w:cs="宋体"/>
          <w:color w:val="auto"/>
          <w:szCs w:val="24"/>
          <w:highlight w:val="none"/>
        </w:rPr>
      </w:pPr>
    </w:p>
    <w:p>
      <w:pPr>
        <w:rPr>
          <w:highlight w:val="none"/>
        </w:rPr>
      </w:pPr>
    </w:p>
    <w:p>
      <w:pPr>
        <w:pStyle w:val="36"/>
        <w:ind w:firstLine="480"/>
        <w:rPr>
          <w:rFonts w:eastAsia="宋体" w:cs="宋体"/>
          <w:color w:val="auto"/>
          <w:szCs w:val="24"/>
          <w:highlight w:val="none"/>
        </w:rPr>
      </w:pPr>
    </w:p>
    <w:p>
      <w:pPr>
        <w:adjustRightInd w:val="0"/>
        <w:snapToGrid w:val="0"/>
        <w:spacing w:line="360" w:lineRule="auto"/>
        <w:jc w:val="both"/>
        <w:rPr>
          <w:rFonts w:hint="eastAsia" w:ascii="宋体" w:hAnsi="宋体" w:cs="宋体"/>
          <w:b/>
          <w:color w:val="auto"/>
          <w:spacing w:val="12"/>
          <w:sz w:val="32"/>
          <w:szCs w:val="32"/>
          <w:highlight w:val="none"/>
        </w:rPr>
      </w:pPr>
      <w:bookmarkStart w:id="35" w:name="_Toc66653219"/>
    </w:p>
    <w:p>
      <w:pPr>
        <w:adjustRightInd w:val="0"/>
        <w:snapToGrid w:val="0"/>
        <w:spacing w:line="360" w:lineRule="auto"/>
        <w:jc w:val="center"/>
        <w:rPr>
          <w:rFonts w:ascii="宋体" w:hAnsi="宋体" w:cs="宋体"/>
          <w:b/>
          <w:color w:val="auto"/>
          <w:spacing w:val="12"/>
          <w:sz w:val="32"/>
          <w:szCs w:val="32"/>
          <w:highlight w:val="none"/>
        </w:rPr>
      </w:pPr>
      <w:r>
        <w:rPr>
          <w:rFonts w:hint="eastAsia" w:ascii="宋体" w:hAnsi="宋体" w:cs="宋体"/>
          <w:b/>
          <w:color w:val="auto"/>
          <w:spacing w:val="12"/>
          <w:sz w:val="32"/>
          <w:szCs w:val="32"/>
          <w:highlight w:val="none"/>
        </w:rPr>
        <w:t>目    录</w:t>
      </w:r>
      <w:bookmarkEnd w:id="35"/>
    </w:p>
    <w:p>
      <w:pPr>
        <w:adjustRightInd w:val="0"/>
        <w:snapToGrid w:val="0"/>
        <w:spacing w:line="360" w:lineRule="auto"/>
        <w:jc w:val="center"/>
        <w:rPr>
          <w:rFonts w:ascii="宋体" w:hAnsi="宋体" w:cs="宋体"/>
          <w:b/>
          <w:color w:val="auto"/>
          <w:spacing w:val="12"/>
          <w:sz w:val="24"/>
          <w:szCs w:val="24"/>
          <w:highlight w:val="none"/>
        </w:rPr>
      </w:pPr>
    </w:p>
    <w:p>
      <w:pPr>
        <w:adjustRightInd w:val="0"/>
        <w:snapToGrid w:val="0"/>
        <w:spacing w:line="360" w:lineRule="auto"/>
        <w:ind w:firstLine="528" w:firstLineChars="200"/>
        <w:jc w:val="left"/>
        <w:rPr>
          <w:rFonts w:ascii="宋体" w:hAnsi="宋体" w:cs="宋体"/>
          <w:color w:val="auto"/>
          <w:spacing w:val="12"/>
          <w:sz w:val="24"/>
          <w:szCs w:val="24"/>
          <w:highlight w:val="none"/>
        </w:rPr>
      </w:pPr>
      <w:r>
        <w:rPr>
          <w:rFonts w:hint="eastAsia" w:ascii="宋体" w:hAnsi="宋体" w:cs="宋体"/>
          <w:bCs/>
          <w:snapToGrid w:val="0"/>
          <w:color w:val="auto"/>
          <w:spacing w:val="12"/>
          <w:kern w:val="0"/>
          <w:sz w:val="24"/>
          <w:szCs w:val="24"/>
          <w:highlight w:val="none"/>
        </w:rPr>
        <w:t>一、</w:t>
      </w:r>
      <w:r>
        <w:rPr>
          <w:rFonts w:hint="eastAsia" w:ascii="宋体" w:hAnsi="宋体" w:cs="宋体"/>
          <w:color w:val="auto"/>
          <w:spacing w:val="12"/>
          <w:sz w:val="24"/>
          <w:szCs w:val="24"/>
          <w:highlight w:val="none"/>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cs="宋体"/>
          <w:bCs/>
          <w:color w:val="auto"/>
          <w:spacing w:val="12"/>
          <w:sz w:val="24"/>
          <w:szCs w:val="24"/>
          <w:highlight w:val="none"/>
        </w:rPr>
        <w:t>二、</w:t>
      </w:r>
      <w:r>
        <w:rPr>
          <w:rFonts w:hint="eastAsia" w:ascii="宋体" w:hAnsi="宋体" w:eastAsia="宋体" w:cs="宋体"/>
          <w:bCs/>
          <w:color w:val="auto"/>
          <w:spacing w:val="12"/>
          <w:sz w:val="24"/>
          <w:szCs w:val="24"/>
          <w:highlight w:val="none"/>
          <w:lang w:eastAsia="zh-CN"/>
        </w:rPr>
        <w:t>磋商函</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三、报价报价表</w:t>
      </w:r>
    </w:p>
    <w:p>
      <w:pPr>
        <w:adjustRightInd w:val="0"/>
        <w:snapToGrid w:val="0"/>
        <w:spacing w:line="360" w:lineRule="auto"/>
        <w:ind w:firstLine="528" w:firstLineChars="200"/>
        <w:rPr>
          <w:rFonts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四</w:t>
      </w:r>
      <w:r>
        <w:rPr>
          <w:rFonts w:hint="eastAsia" w:ascii="宋体" w:hAnsi="宋体" w:cs="宋体"/>
          <w:bCs/>
          <w:color w:val="auto"/>
          <w:spacing w:val="12"/>
          <w:sz w:val="24"/>
          <w:szCs w:val="24"/>
          <w:highlight w:val="none"/>
        </w:rPr>
        <w:t>、供应商资质证明文件</w:t>
      </w:r>
    </w:p>
    <w:p>
      <w:pPr>
        <w:adjustRightInd w:val="0"/>
        <w:snapToGrid w:val="0"/>
        <w:spacing w:line="360" w:lineRule="auto"/>
        <w:ind w:firstLine="528" w:firstLineChars="200"/>
        <w:rPr>
          <w:rFonts w:hint="eastAsia"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五</w:t>
      </w:r>
      <w:r>
        <w:rPr>
          <w:rFonts w:hint="eastAsia" w:ascii="宋体" w:hAnsi="宋体" w:cs="宋体"/>
          <w:bCs/>
          <w:color w:val="auto"/>
          <w:spacing w:val="12"/>
          <w:sz w:val="24"/>
          <w:szCs w:val="24"/>
          <w:highlight w:val="none"/>
        </w:rPr>
        <w:t>、辅助资料</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六、投标偏离表</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eastAsia="宋体" w:cs="宋体"/>
          <w:bCs/>
          <w:color w:val="auto"/>
          <w:spacing w:val="12"/>
          <w:sz w:val="24"/>
          <w:szCs w:val="24"/>
          <w:highlight w:val="none"/>
          <w:lang w:val="en-US" w:eastAsia="zh-CN"/>
        </w:rPr>
        <w:t>七</w:t>
      </w:r>
      <w:r>
        <w:rPr>
          <w:rFonts w:hint="eastAsia" w:ascii="宋体" w:hAnsi="宋体" w:cs="宋体"/>
          <w:bCs/>
          <w:snapToGrid w:val="0"/>
          <w:color w:val="auto"/>
          <w:spacing w:val="12"/>
          <w:kern w:val="0"/>
          <w:sz w:val="24"/>
          <w:szCs w:val="24"/>
          <w:highlight w:val="none"/>
        </w:rPr>
        <w:t>、</w:t>
      </w:r>
      <w:r>
        <w:rPr>
          <w:rFonts w:hint="eastAsia" w:ascii="宋体" w:hAnsi="宋体" w:eastAsia="宋体" w:cs="宋体"/>
          <w:bCs/>
          <w:color w:val="auto"/>
          <w:spacing w:val="12"/>
          <w:sz w:val="24"/>
          <w:szCs w:val="24"/>
          <w:highlight w:val="none"/>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八</w:t>
      </w:r>
      <w:r>
        <w:rPr>
          <w:rFonts w:hint="eastAsia" w:ascii="宋体" w:hAnsi="宋体" w:cs="宋体"/>
          <w:bCs/>
          <w:color w:val="auto"/>
          <w:spacing w:val="12"/>
          <w:sz w:val="24"/>
          <w:szCs w:val="24"/>
          <w:highlight w:val="none"/>
        </w:rPr>
        <w:t>、</w:t>
      </w:r>
      <w:r>
        <w:rPr>
          <w:rFonts w:hint="eastAsia" w:ascii="宋体" w:hAnsi="宋体" w:cs="宋体"/>
          <w:bCs/>
          <w:snapToGrid w:val="0"/>
          <w:color w:val="auto"/>
          <w:spacing w:val="12"/>
          <w:kern w:val="0"/>
          <w:sz w:val="24"/>
          <w:szCs w:val="24"/>
          <w:highlight w:val="none"/>
        </w:rPr>
        <w:t>供应商认为有必要提供的其它资料</w:t>
      </w:r>
    </w:p>
    <w:p>
      <w:pPr>
        <w:adjustRightInd w:val="0"/>
        <w:snapToGrid w:val="0"/>
        <w:spacing w:line="360" w:lineRule="auto"/>
        <w:ind w:firstLine="1259" w:firstLineChars="477"/>
        <w:rPr>
          <w:rFonts w:ascii="宋体" w:hAnsi="宋体" w:cs="宋体"/>
          <w:bCs/>
          <w:snapToGrid w:val="0"/>
          <w:color w:val="auto"/>
          <w:spacing w:val="12"/>
          <w:kern w:val="0"/>
          <w:sz w:val="24"/>
          <w:szCs w:val="24"/>
          <w:highlight w:val="none"/>
        </w:rPr>
      </w:pPr>
    </w:p>
    <w:p>
      <w:pPr>
        <w:adjustRightInd w:val="0"/>
        <w:snapToGrid w:val="0"/>
        <w:spacing w:line="360" w:lineRule="auto"/>
        <w:ind w:firstLine="778" w:firstLineChars="295"/>
        <w:jc w:val="center"/>
        <w:rPr>
          <w:rFonts w:ascii="宋体" w:hAnsi="宋体" w:cs="宋体"/>
          <w:b/>
          <w:color w:val="auto"/>
          <w:sz w:val="24"/>
          <w:szCs w:val="24"/>
          <w:highlight w:val="none"/>
        </w:rPr>
      </w:pPr>
      <w:r>
        <w:rPr>
          <w:rFonts w:hint="eastAsia" w:ascii="宋体" w:hAnsi="宋体" w:cs="宋体"/>
          <w:bCs/>
          <w:color w:val="auto"/>
          <w:spacing w:val="12"/>
          <w:sz w:val="24"/>
          <w:szCs w:val="24"/>
          <w:highlight w:val="none"/>
        </w:rPr>
        <w:br w:type="page"/>
      </w:r>
      <w:bookmarkStart w:id="36" w:name="_Toc66805780"/>
      <w:bookmarkStart w:id="37" w:name="_Toc66805995"/>
      <w:bookmarkStart w:id="38" w:name="_Toc66798265"/>
      <w:r>
        <w:rPr>
          <w:rFonts w:hint="eastAsia" w:ascii="宋体" w:hAnsi="宋体" w:cs="宋体"/>
          <w:b/>
          <w:color w:val="auto"/>
          <w:sz w:val="24"/>
          <w:szCs w:val="24"/>
          <w:highlight w:val="none"/>
        </w:rPr>
        <w:t>一、法定代表人</w:t>
      </w:r>
      <w:bookmarkEnd w:id="36"/>
      <w:bookmarkEnd w:id="37"/>
      <w:bookmarkEnd w:id="38"/>
      <w:r>
        <w:rPr>
          <w:rFonts w:hint="eastAsia" w:ascii="宋体" w:hAnsi="宋体" w:cs="宋体"/>
          <w:b/>
          <w:color w:val="auto"/>
          <w:sz w:val="24"/>
          <w:szCs w:val="24"/>
          <w:highlight w:val="none"/>
        </w:rPr>
        <w:t>身份证明书</w:t>
      </w:r>
    </w:p>
    <w:p>
      <w:pPr>
        <w:tabs>
          <w:tab w:val="left" w:pos="360"/>
          <w:tab w:val="left" w:pos="720"/>
          <w:tab w:val="left" w:pos="2310"/>
        </w:tabs>
        <w:spacing w:line="360" w:lineRule="auto"/>
        <w:ind w:firstLine="480" w:firstLineChars="200"/>
        <w:rPr>
          <w:rFonts w:ascii="宋体" w:hAnsi="宋体" w:cs="宋体"/>
          <w:color w:val="auto"/>
          <w:sz w:val="24"/>
          <w:szCs w:val="24"/>
          <w:highlight w:val="none"/>
        </w:rPr>
      </w:pPr>
    </w:p>
    <w:p>
      <w:pPr>
        <w:tabs>
          <w:tab w:val="left" w:pos="360"/>
          <w:tab w:val="left" w:pos="720"/>
          <w:tab w:val="left" w:pos="231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公司成立时间： </w:t>
      </w:r>
      <w:r>
        <w:rPr>
          <w:rFonts w:hint="eastAsia" w:ascii="宋体" w:hAnsi="宋体" w:cs="宋体"/>
          <w:color w:val="auto"/>
          <w:sz w:val="24"/>
          <w:szCs w:val="24"/>
          <w:highlight w:val="none"/>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经营期限：    </w:t>
      </w:r>
      <w:r>
        <w:rPr>
          <w:rFonts w:hint="eastAsia" w:ascii="宋体" w:hAnsi="宋体" w:cs="宋体"/>
          <w:color w:val="auto"/>
          <w:sz w:val="24"/>
          <w:szCs w:val="24"/>
          <w:highlight w:val="none"/>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龄：</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（供应商名称）的法定代表人。负责</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的投标、进行合同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、签署合同和处理与之有关的一切事务。</w:t>
      </w:r>
    </w:p>
    <w:p>
      <w:pPr>
        <w:tabs>
          <w:tab w:val="left" w:pos="360"/>
          <w:tab w:val="left" w:pos="720"/>
        </w:tabs>
        <w:spacing w:line="360" w:lineRule="auto"/>
        <w:rPr>
          <w:rFonts w:ascii="宋体" w:hAnsi="宋体" w:cs="宋体"/>
          <w:color w:val="auto"/>
          <w:sz w:val="24"/>
          <w:szCs w:val="24"/>
          <w:highlight w:val="none"/>
        </w:rPr>
      </w:pP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cs="宋体"/>
          <w:color w:val="auto"/>
          <w:sz w:val="24"/>
          <w:szCs w:val="24"/>
          <w:highlight w:val="none"/>
        </w:rPr>
        <w:t>）</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w:t>
      </w:r>
    </w:p>
    <w:p>
      <w:pPr>
        <w:tabs>
          <w:tab w:val="left" w:pos="360"/>
          <w:tab w:val="left" w:pos="720"/>
        </w:tabs>
        <w:spacing w:line="360" w:lineRule="auto"/>
        <w:ind w:firstLine="7200" w:firstLineChars="30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lang w:val="en-US" w:eastAsia="zh-CN"/>
        </w:rPr>
        <w:t>盖章</w:t>
      </w:r>
      <w:r>
        <w:rPr>
          <w:rFonts w:hint="eastAsia" w:ascii="宋体" w:hAnsi="宋体" w:cs="宋体"/>
          <w:color w:val="auto"/>
          <w:sz w:val="24"/>
          <w:szCs w:val="24"/>
          <w:highlight w:val="non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p>
    <w:p>
      <w:pPr>
        <w:adjustRightInd w:val="0"/>
        <w:snapToGrid w:val="0"/>
        <w:spacing w:line="480" w:lineRule="exact"/>
        <w:ind w:right="28"/>
        <w:jc w:val="center"/>
        <w:rPr>
          <w:rFonts w:ascii="宋体" w:hAnsi="宋体" w:cs="宋体"/>
          <w:b/>
          <w:color w:val="auto"/>
          <w:sz w:val="24"/>
          <w:szCs w:val="24"/>
          <w:highlight w:val="none"/>
        </w:rPr>
      </w:pPr>
      <w:r>
        <w:rPr>
          <w:rFonts w:hint="eastAsia" w:ascii="宋体" w:hAnsi="宋体" w:cs="宋体"/>
          <w:color w:val="auto"/>
          <w:sz w:val="24"/>
          <w:szCs w:val="24"/>
          <w:highlight w:val="none"/>
        </w:rPr>
        <w:t xml:space="preserve">                             日期：     年   月   日</w:t>
      </w:r>
    </w:p>
    <w:p>
      <w:pPr>
        <w:adjustRightInd w:val="0"/>
        <w:snapToGrid w:val="0"/>
        <w:spacing w:line="360" w:lineRule="auto"/>
        <w:ind w:firstLine="1201" w:firstLineChars="500"/>
        <w:rPr>
          <w:rFonts w:ascii="宋体" w:hAnsi="宋体" w:cs="宋体"/>
          <w:b/>
          <w:bCs/>
          <w:color w:val="auto"/>
          <w:sz w:val="24"/>
          <w:szCs w:val="24"/>
          <w:highlight w:val="none"/>
        </w:rPr>
      </w:pPr>
    </w:p>
    <w:p>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tbl>
      <w:tblPr>
        <w:tblStyle w:val="19"/>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ind w:firstLine="353" w:firstLineChars="147"/>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bCs/>
          <w:color w:val="auto"/>
          <w:spacing w:val="12"/>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p>
    <w:p>
      <w:pPr>
        <w:adjustRightInd w:val="0"/>
        <w:snapToGrid w:val="0"/>
        <w:spacing w:line="360" w:lineRule="auto"/>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一、法定代表人授权委托书</w:t>
      </w:r>
    </w:p>
    <w:p>
      <w:pPr>
        <w:spacing w:line="360" w:lineRule="auto"/>
        <w:rPr>
          <w:rFonts w:ascii="宋体" w:hAnsi="宋体" w:cs="宋体"/>
          <w:color w:val="auto"/>
          <w:sz w:val="24"/>
          <w:szCs w:val="24"/>
          <w:highlight w:val="none"/>
        </w:rPr>
      </w:pPr>
    </w:p>
    <w:p>
      <w:pPr>
        <w:adjustRightInd w:val="0"/>
        <w:snapToGrid w:val="0"/>
        <w:spacing w:line="360" w:lineRule="auto"/>
        <w:ind w:firstLine="525"/>
        <w:rPr>
          <w:rFonts w:ascii="宋体" w:hAnsi="宋体" w:cs="宋体"/>
          <w:color w:val="auto"/>
          <w:sz w:val="24"/>
          <w:szCs w:val="24"/>
          <w:highlight w:val="none"/>
        </w:rPr>
      </w:pPr>
      <w:r>
        <w:rPr>
          <w:rFonts w:hint="eastAsia" w:ascii="宋体" w:hAnsi="宋体" w:cs="宋体"/>
          <w:color w:val="auto"/>
          <w:spacing w:val="12"/>
          <w:sz w:val="24"/>
          <w:szCs w:val="24"/>
          <w:highlight w:val="none"/>
        </w:rPr>
        <w:t>本授权书声明：</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（姓名）系</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（供应商名称）的法定代表人，现授权委托</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（单位名称）的</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（姓名）为我公司代理人，以本公司的名义参加</w:t>
      </w:r>
      <w:r>
        <w:rPr>
          <w:rFonts w:hint="eastAsia" w:ascii="宋体" w:hAnsi="宋体" w:cs="宋体"/>
          <w:color w:val="auto"/>
          <w:spacing w:val="12"/>
          <w:sz w:val="24"/>
          <w:szCs w:val="24"/>
          <w:highlight w:val="none"/>
          <w:u w:val="single"/>
        </w:rPr>
        <w:t xml:space="preserve">                （项目名称）</w:t>
      </w:r>
      <w:r>
        <w:rPr>
          <w:rFonts w:hint="eastAsia" w:ascii="宋体" w:hAnsi="宋体" w:cs="宋体"/>
          <w:color w:val="auto"/>
          <w:spacing w:val="12"/>
          <w:sz w:val="24"/>
          <w:szCs w:val="24"/>
          <w:highlight w:val="none"/>
        </w:rPr>
        <w:t>的</w:t>
      </w:r>
      <w:r>
        <w:rPr>
          <w:rFonts w:hint="eastAsia" w:ascii="宋体" w:hAnsi="宋体" w:cs="宋体"/>
          <w:color w:val="auto"/>
          <w:sz w:val="24"/>
          <w:szCs w:val="24"/>
          <w:highlight w:val="none"/>
        </w:rPr>
        <w:t>投标活动。代理人在开标、评标、合同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highlight w:val="none"/>
        </w:rPr>
      </w:pPr>
      <w:r>
        <w:rPr>
          <w:rFonts w:hint="eastAsia" w:ascii="宋体" w:hAnsi="宋体" w:cs="宋体"/>
          <w:color w:val="auto"/>
          <w:sz w:val="24"/>
          <w:szCs w:val="24"/>
          <w:highlight w:val="none"/>
        </w:rPr>
        <w:t>代理人无转委托权。特此委托。</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代理人：</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性别：</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年龄：</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身份证号：</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单位：</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eastAsia"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部门：</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职务：</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default" w:ascii="宋体" w:hAnsi="宋体" w:eastAsia="宋体" w:cs="宋体"/>
          <w:color w:val="auto"/>
          <w:spacing w:val="12"/>
          <w:sz w:val="24"/>
          <w:szCs w:val="24"/>
          <w:highlight w:val="none"/>
          <w:u w:val="single"/>
          <w:lang w:val="en-US" w:eastAsia="zh-CN"/>
        </w:rPr>
      </w:pPr>
      <w:r>
        <w:rPr>
          <w:rFonts w:hint="eastAsia" w:ascii="宋体" w:hAnsi="宋体" w:eastAsia="宋体" w:cs="宋体"/>
          <w:color w:val="auto"/>
          <w:spacing w:val="12"/>
          <w:sz w:val="24"/>
          <w:szCs w:val="24"/>
          <w:highlight w:val="none"/>
          <w:u w:val="none"/>
          <w:lang w:val="en-US" w:eastAsia="zh-CN"/>
        </w:rPr>
        <w:t xml:space="preserve">联系电话： </w:t>
      </w:r>
      <w:r>
        <w:rPr>
          <w:rFonts w:hint="eastAsia" w:ascii="宋体" w:hAnsi="宋体" w:eastAsia="宋体" w:cs="宋体"/>
          <w:color w:val="auto"/>
          <w:spacing w:val="12"/>
          <w:sz w:val="24"/>
          <w:szCs w:val="24"/>
          <w:highlight w:val="none"/>
          <w:u w:val="single"/>
          <w:lang w:val="en-US" w:eastAsia="zh-CN"/>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供应商：</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盖章</w:t>
      </w: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法定代表人：</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（签字</w:t>
      </w:r>
      <w:r>
        <w:rPr>
          <w:rFonts w:hint="eastAsia" w:ascii="宋体" w:hAnsi="宋体" w:eastAsia="宋体" w:cs="宋体"/>
          <w:color w:val="auto"/>
          <w:spacing w:val="12"/>
          <w:sz w:val="24"/>
          <w:szCs w:val="24"/>
          <w:highlight w:val="none"/>
          <w:lang w:eastAsia="zh-CN"/>
        </w:rPr>
        <w:t>或盖章</w:t>
      </w:r>
      <w:r>
        <w:rPr>
          <w:rFonts w:hint="eastAsia" w:ascii="宋体" w:hAnsi="宋体" w:cs="宋体"/>
          <w:color w:val="auto"/>
          <w:spacing w:val="12"/>
          <w:sz w:val="24"/>
          <w:szCs w:val="24"/>
          <w:highlight w:val="none"/>
        </w:rPr>
        <w:t>）</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    月    日</w:t>
      </w:r>
    </w:p>
    <w:p>
      <w:pPr>
        <w:adjustRightInd w:val="0"/>
        <w:snapToGrid w:val="0"/>
        <w:spacing w:line="360" w:lineRule="auto"/>
        <w:ind w:firstLine="512" w:firstLineChars="200"/>
        <w:rPr>
          <w:rFonts w:ascii="宋体" w:hAnsi="宋体" w:cs="宋体"/>
          <w:b/>
          <w:color w:val="auto"/>
          <w:spacing w:val="8"/>
          <w:sz w:val="24"/>
          <w:szCs w:val="24"/>
          <w:highlight w:val="none"/>
        </w:rPr>
      </w:pPr>
    </w:p>
    <w:p>
      <w:pPr>
        <w:adjustRightInd w:val="0"/>
        <w:snapToGrid w:val="0"/>
        <w:spacing w:line="360" w:lineRule="auto"/>
        <w:ind w:firstLine="528" w:firstLineChars="200"/>
        <w:rPr>
          <w:rFonts w:ascii="宋体" w:hAnsi="宋体" w:cs="宋体"/>
          <w:b/>
          <w:color w:val="auto"/>
          <w:spacing w:val="12"/>
          <w:sz w:val="24"/>
          <w:szCs w:val="24"/>
          <w:highlight w:val="none"/>
          <w:u w:val="single"/>
        </w:rPr>
      </w:pPr>
    </w:p>
    <w:tbl>
      <w:tblPr>
        <w:tblStyle w:val="19"/>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w:t>
            </w:r>
            <w:r>
              <w:rPr>
                <w:rFonts w:hint="eastAsia" w:ascii="宋体" w:hAnsi="宋体" w:eastAsia="宋体" w:cs="宋体"/>
                <w:b/>
                <w:color w:val="auto"/>
                <w:sz w:val="24"/>
                <w:szCs w:val="24"/>
                <w:highlight w:val="none"/>
                <w:lang w:eastAsia="zh-CN"/>
              </w:rPr>
              <w:t>及</w:t>
            </w:r>
            <w:r>
              <w:rPr>
                <w:rFonts w:hint="eastAsia" w:ascii="宋体" w:hAnsi="宋体" w:cs="宋体"/>
                <w:b/>
                <w:color w:val="auto"/>
                <w:sz w:val="24"/>
                <w:szCs w:val="24"/>
                <w:highlight w:val="none"/>
              </w:rPr>
              <w:t>授权委托人身份证正反面复印件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bookmarkStart w:id="39" w:name="_Toc66805996"/>
      <w:bookmarkStart w:id="40" w:name="_Toc66805781"/>
      <w:bookmarkStart w:id="41" w:name="_Toc66798266"/>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r>
        <w:rPr>
          <w:rFonts w:hint="eastAsia" w:ascii="宋体" w:hAnsi="宋体" w:cs="宋体"/>
          <w:b/>
          <w:color w:val="auto"/>
          <w:sz w:val="24"/>
          <w:szCs w:val="24"/>
          <w:highlight w:val="none"/>
        </w:rPr>
        <w:br w:type="page"/>
      </w:r>
      <w:bookmarkEnd w:id="39"/>
      <w:bookmarkEnd w:id="40"/>
      <w:bookmarkEnd w:id="41"/>
      <w:bookmarkStart w:id="42" w:name="_Toc66798267"/>
      <w:r>
        <w:rPr>
          <w:rFonts w:hint="eastAsia" w:ascii="宋体" w:hAnsi="宋体" w:cs="宋体"/>
          <w:b/>
          <w:color w:val="auto"/>
          <w:sz w:val="24"/>
          <w:szCs w:val="24"/>
          <w:highlight w:val="none"/>
        </w:rPr>
        <w:t>二、</w:t>
      </w:r>
      <w:r>
        <w:rPr>
          <w:rFonts w:hint="eastAsia" w:ascii="宋体" w:hAnsi="宋体" w:eastAsia="宋体" w:cs="宋体"/>
          <w:b/>
          <w:color w:val="auto"/>
          <w:sz w:val="24"/>
          <w:szCs w:val="24"/>
          <w:highlight w:val="none"/>
          <w:lang w:eastAsia="zh-CN"/>
        </w:rPr>
        <w:t>磋商函</w:t>
      </w:r>
    </w:p>
    <w:bookmarkEnd w:id="42"/>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z w:val="24"/>
          <w:szCs w:val="24"/>
          <w:highlight w:val="none"/>
          <w:u w:val="single"/>
        </w:rPr>
        <w:t xml:space="preserve">              （采购人名称）</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我们收到贵方招标编号为：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（项目名称）采购文件，经详细研究上述项目采购文件的内容后，我方接受并承认采购文件中的所有条款，并做出如下承诺：</w:t>
      </w:r>
    </w:p>
    <w:p>
      <w:pPr>
        <w:numPr>
          <w:ilvl w:val="0"/>
          <w:numId w:val="7"/>
        </w:numPr>
        <w:adjustRightInd w:val="0"/>
        <w:snapToGrid w:val="0"/>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我方承认和愿意按照采购文件中的各项规定和要求，</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u w:val="none"/>
          <w:lang w:val="en-US" w:eastAsia="zh-CN"/>
        </w:rPr>
        <w:t>的</w:t>
      </w:r>
      <w:r>
        <w:rPr>
          <w:rFonts w:hint="eastAsia" w:ascii="宋体" w:hAnsi="宋体" w:cs="宋体"/>
          <w:color w:val="auto"/>
          <w:sz w:val="24"/>
          <w:szCs w:val="24"/>
          <w:highlight w:val="none"/>
        </w:rPr>
        <w:t>投标</w:t>
      </w:r>
      <w:r>
        <w:rPr>
          <w:rFonts w:hint="eastAsia" w:ascii="宋体" w:hAnsi="宋体" w:eastAsia="宋体" w:cs="宋体"/>
          <w:color w:val="auto"/>
          <w:sz w:val="24"/>
          <w:szCs w:val="24"/>
          <w:highlight w:val="none"/>
          <w:lang w:eastAsia="zh-CN"/>
        </w:rPr>
        <w:t>总价</w:t>
      </w:r>
      <w:r>
        <w:rPr>
          <w:rFonts w:hint="eastAsia" w:ascii="宋体" w:hAnsi="宋体" w:cs="宋体"/>
          <w:color w:val="auto"/>
          <w:sz w:val="24"/>
          <w:szCs w:val="24"/>
          <w:highlight w:val="none"/>
        </w:rPr>
        <w:t>，按上述合同条件、技术规范的条件承包本项目。一旦我方中标，我方保证在</w:t>
      </w:r>
      <w:r>
        <w:rPr>
          <w:rFonts w:hint="eastAsia" w:ascii="宋体" w:hAnsi="宋体" w:eastAsia="宋体" w:cs="宋体"/>
          <w:color w:val="auto"/>
          <w:sz w:val="24"/>
          <w:szCs w:val="24"/>
          <w:highlight w:val="none"/>
          <w:u w:val="none"/>
          <w:lang w:val="en-US" w:eastAsia="zh-CN"/>
        </w:rPr>
        <w:t xml:space="preserve"> </w:t>
      </w:r>
    </w:p>
    <w:p>
      <w:pPr>
        <w:numPr>
          <w:ilvl w:val="0"/>
          <w:numId w:val="0"/>
        </w:numPr>
        <w:adjustRightInd w:val="0"/>
        <w:snapToGrid w:val="0"/>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rPr>
        <w:t>）完成本项目，且质量等级达到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3、如果我们</w:t>
      </w:r>
      <w:r>
        <w:rPr>
          <w:rFonts w:hint="eastAsia" w:ascii="宋体" w:hAnsi="宋体" w:eastAsia="宋体" w:cs="宋体"/>
          <w:color w:val="auto"/>
          <w:sz w:val="24"/>
          <w:szCs w:val="24"/>
          <w:highlight w:val="none"/>
          <w:lang w:eastAsia="zh-CN"/>
        </w:rPr>
        <w:t>磋商函</w:t>
      </w:r>
      <w:r>
        <w:rPr>
          <w:rFonts w:hint="eastAsia" w:ascii="宋体" w:hAnsi="宋体" w:cs="宋体"/>
          <w:color w:val="auto"/>
          <w:sz w:val="24"/>
          <w:szCs w:val="24"/>
          <w:highlight w:val="none"/>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4、我们愿意提供</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5、我们理解，最低报价不是中标的唯一条件。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、我方的投标有效期为</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0天（即从开标之日起</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0天内有效）。</w:t>
      </w: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jc w:val="center"/>
        <w:rPr>
          <w:rFonts w:hint="eastAsia" w:ascii="宋体" w:hAnsi="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 xml:space="preserve">供应商：（公章）             </w:t>
      </w:r>
    </w:p>
    <w:p>
      <w:pPr>
        <w:adjustRightInd w:val="0"/>
        <w:snapToGrid w:val="0"/>
        <w:spacing w:line="360" w:lineRule="auto"/>
        <w:ind w:firstLine="3360" w:firstLineChars="1400"/>
        <w:rPr>
          <w:rFonts w:ascii="宋体" w:hAnsi="宋体" w:eastAsia="Times New Roman" w:cs="宋体"/>
          <w:color w:val="auto"/>
          <w:spacing w:val="12"/>
          <w:sz w:val="24"/>
          <w:szCs w:val="24"/>
          <w:highlight w:val="none"/>
        </w:rPr>
      </w:pPr>
      <w:r>
        <w:rPr>
          <w:rFonts w:hint="eastAsia" w:ascii="宋体" w:hAnsi="宋体" w:eastAsia="Times New Roman" w:cs="宋体"/>
          <w:color w:val="auto"/>
          <w:sz w:val="24"/>
          <w:szCs w:val="24"/>
          <w:highlight w:val="none"/>
          <w:lang w:val="zh-CN"/>
        </w:rPr>
        <w:t>法</w:t>
      </w:r>
      <w:r>
        <w:rPr>
          <w:rFonts w:hint="eastAsia" w:ascii="宋体" w:hAnsi="宋体" w:eastAsia="Times New Roman" w:cs="宋体"/>
          <w:color w:val="auto"/>
          <w:sz w:val="24"/>
          <w:szCs w:val="24"/>
          <w:highlight w:val="none"/>
          <w:lang w:val="zh-CN" w:eastAsia="zh-CN"/>
        </w:rPr>
        <w:t>定</w:t>
      </w:r>
      <w:r>
        <w:rPr>
          <w:rFonts w:hint="eastAsia" w:ascii="宋体" w:hAnsi="宋体" w:eastAsia="Times New Roman" w:cs="宋体"/>
          <w:color w:val="auto"/>
          <w:sz w:val="24"/>
          <w:szCs w:val="24"/>
          <w:highlight w:val="none"/>
          <w:lang w:val="zh-CN"/>
        </w:rPr>
        <w:t>代表人或授权代理人：</w:t>
      </w:r>
      <w:r>
        <w:rPr>
          <w:rFonts w:hint="eastAsia" w:ascii="宋体" w:hAnsi="宋体" w:eastAsia="Times New Roman" w:cs="宋体"/>
          <w:color w:val="auto"/>
          <w:spacing w:val="12"/>
          <w:sz w:val="24"/>
          <w:szCs w:val="24"/>
          <w:highlight w:val="none"/>
        </w:rPr>
        <w:t xml:space="preserve"> </w:t>
      </w:r>
      <w:r>
        <w:rPr>
          <w:rFonts w:hint="eastAsia" w:ascii="宋体" w:hAnsi="宋体" w:eastAsia="Times New Roman" w:cs="宋体"/>
          <w:color w:val="auto"/>
          <w:spacing w:val="12"/>
          <w:sz w:val="24"/>
          <w:szCs w:val="24"/>
          <w:highlight w:val="none"/>
          <w:lang w:val="en-US" w:eastAsia="zh-CN"/>
        </w:rPr>
        <w:t xml:space="preserve">   </w:t>
      </w:r>
      <w:r>
        <w:rPr>
          <w:rFonts w:hint="eastAsia" w:ascii="宋体" w:hAnsi="宋体" w:eastAsia="Times New Roman"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签字或盖章</w:t>
      </w:r>
      <w:r>
        <w:rPr>
          <w:rFonts w:hint="eastAsia" w:ascii="宋体" w:hAnsi="宋体" w:eastAsia="Times New Roman" w:cs="宋体"/>
          <w:color w:val="auto"/>
          <w:spacing w:val="12"/>
          <w:sz w:val="24"/>
          <w:szCs w:val="24"/>
          <w:highlight w:val="none"/>
        </w:rPr>
        <w:t>）</w:t>
      </w:r>
    </w:p>
    <w:p>
      <w:pPr>
        <w:adjustRightInd w:val="0"/>
        <w:snapToGrid w:val="0"/>
        <w:spacing w:line="360" w:lineRule="auto"/>
        <w:rPr>
          <w:rFonts w:ascii="宋体" w:hAnsi="宋体" w:cs="宋体"/>
          <w:color w:val="auto"/>
          <w:spacing w:val="12"/>
          <w:sz w:val="24"/>
          <w:szCs w:val="24"/>
          <w:highlight w:val="none"/>
        </w:rPr>
      </w:pPr>
    </w:p>
    <w:p>
      <w:pPr>
        <w:rPr>
          <w:rFonts w:ascii="宋体" w:hAnsi="宋体" w:cs="宋体"/>
          <w:color w:val="auto"/>
          <w:sz w:val="24"/>
          <w:szCs w:val="24"/>
          <w:highlight w:val="none"/>
        </w:rPr>
      </w:pPr>
      <w:r>
        <w:rPr>
          <w:rFonts w:hint="eastAsia" w:ascii="宋体" w:hAnsi="宋体" w:cs="宋体"/>
          <w:color w:val="auto"/>
          <w:spacing w:val="12"/>
          <w:sz w:val="24"/>
          <w:szCs w:val="24"/>
          <w:highlight w:val="none"/>
        </w:rPr>
        <w:t xml:space="preserve">                                              年  月  日</w:t>
      </w:r>
      <w:r>
        <w:rPr>
          <w:rFonts w:hint="eastAsia" w:ascii="宋体" w:hAnsi="宋体" w:cs="宋体"/>
          <w:color w:val="auto"/>
          <w:sz w:val="24"/>
          <w:szCs w:val="24"/>
          <w:highlight w:val="none"/>
        </w:rPr>
        <w:t xml:space="preserve"> </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numPr>
          <w:ilvl w:val="0"/>
          <w:numId w:val="8"/>
        </w:numPr>
        <w:adjustRightInd w:val="0"/>
        <w:snapToGrid w:val="0"/>
        <w:spacing w:line="360" w:lineRule="auto"/>
        <w:jc w:val="center"/>
        <w:rPr>
          <w:rFonts w:hint="eastAsia" w:ascii="宋体" w:hAnsi="宋体" w:eastAsia="Times New Roman" w:cs="宋体"/>
          <w:b/>
          <w:color w:val="auto"/>
          <w:sz w:val="24"/>
          <w:szCs w:val="24"/>
          <w:highlight w:val="none"/>
        </w:rPr>
      </w:pPr>
      <w:r>
        <w:rPr>
          <w:rFonts w:hint="eastAsia" w:ascii="宋体" w:hAnsi="宋体" w:eastAsia="Times New Roman" w:cs="宋体"/>
          <w:b/>
          <w:color w:val="auto"/>
          <w:sz w:val="24"/>
          <w:szCs w:val="24"/>
          <w:highlight w:val="none"/>
        </w:rPr>
        <w:t>投标报价表</w:t>
      </w:r>
    </w:p>
    <w:p>
      <w:pPr>
        <w:pStyle w:val="67"/>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（一）投标总价表</w:t>
      </w:r>
    </w:p>
    <w:p>
      <w:pPr>
        <w:spacing w:line="360" w:lineRule="auto"/>
        <w:rPr>
          <w:rStyle w:val="59"/>
          <w:rFonts w:ascii="宋体" w:hAnsi="宋体"/>
          <w:kern w:val="0"/>
          <w:sz w:val="24"/>
        </w:rPr>
      </w:pPr>
    </w:p>
    <w:p>
      <w:pPr>
        <w:spacing w:line="360" w:lineRule="auto"/>
        <w:rPr>
          <w:rStyle w:val="59"/>
          <w:rFonts w:hint="eastAsia" w:ascii="宋体" w:hAnsi="宋体"/>
          <w:sz w:val="24"/>
        </w:rPr>
      </w:pPr>
      <w:r>
        <w:rPr>
          <w:rStyle w:val="59"/>
          <w:rFonts w:ascii="宋体" w:hAnsi="宋体"/>
          <w:kern w:val="0"/>
          <w:sz w:val="24"/>
        </w:rPr>
        <w:t>项目名称：</w:t>
      </w:r>
    </w:p>
    <w:p>
      <w:pPr>
        <w:spacing w:line="360" w:lineRule="auto"/>
        <w:ind w:right="1080"/>
        <w:rPr>
          <w:rStyle w:val="59"/>
          <w:rFonts w:ascii="宋体" w:hAnsi="宋体"/>
          <w:kern w:val="0"/>
          <w:sz w:val="24"/>
        </w:rPr>
      </w:pPr>
      <w:r>
        <w:rPr>
          <w:rStyle w:val="59"/>
          <w:rFonts w:ascii="宋体" w:hAnsi="宋体"/>
          <w:kern w:val="0"/>
          <w:sz w:val="24"/>
        </w:rPr>
        <w:t>项目编号：</w:t>
      </w:r>
    </w:p>
    <w:p>
      <w:pPr>
        <w:spacing w:line="360" w:lineRule="auto"/>
        <w:rPr>
          <w:rStyle w:val="59"/>
          <w:rFonts w:hint="eastAsia" w:ascii="宋体" w:hAnsi="宋体" w:eastAsia="宋体" w:cs="Times New Roman"/>
          <w:kern w:val="0"/>
          <w:sz w:val="24"/>
        </w:rPr>
      </w:pPr>
      <w:r>
        <w:rPr>
          <w:rStyle w:val="59"/>
          <w:rFonts w:hint="eastAsia" w:ascii="宋体" w:hAnsi="宋体" w:eastAsia="宋体" w:cs="Times New Roman"/>
          <w:kern w:val="0"/>
          <w:sz w:val="24"/>
        </w:rPr>
        <w:t xml:space="preserve">供应商名称：                         (加盖供应商公章) </w:t>
      </w:r>
      <w:r>
        <w:rPr>
          <w:rStyle w:val="59"/>
          <w:rFonts w:hint="eastAsia" w:ascii="宋体" w:hAnsi="宋体" w:eastAsia="宋体" w:cs="Times New Roman"/>
          <w:kern w:val="0"/>
          <w:sz w:val="24"/>
          <w:lang w:val="en-US" w:eastAsia="zh-CN"/>
        </w:rPr>
        <w:t xml:space="preserve">  </w:t>
      </w:r>
      <w:r>
        <w:rPr>
          <w:rStyle w:val="59"/>
          <w:rFonts w:hint="eastAsia" w:ascii="宋体" w:hAnsi="宋体" w:eastAsia="宋体" w:cs="Times New Roman"/>
          <w:kern w:val="0"/>
          <w:sz w:val="24"/>
        </w:rPr>
        <w:t>单位：元(人民币)</w:t>
      </w:r>
    </w:p>
    <w:tbl>
      <w:tblPr>
        <w:tblStyle w:val="19"/>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6"/>
        <w:gridCol w:w="1351"/>
        <w:gridCol w:w="5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945" w:type="dxa"/>
            <w:noWrap w:val="0"/>
            <w:vAlign w:val="center"/>
          </w:tcPr>
          <w:p>
            <w:pPr>
              <w:pStyle w:val="66"/>
              <w:jc w:val="center"/>
              <w:rPr>
                <w:rFonts w:hint="eastAsia"/>
                <w:lang w:eastAsia="zh-CN"/>
              </w:rPr>
            </w:pPr>
            <w:r>
              <w:rPr>
                <w:rFonts w:hint="eastAsia"/>
                <w:lang w:eastAsia="zh-CN"/>
              </w:rPr>
              <w:t>投标人</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restart"/>
            <w:tcBorders>
              <w:bottom w:val="nil"/>
            </w:tcBorders>
            <w:noWrap w:val="0"/>
            <w:vAlign w:val="center"/>
          </w:tcPr>
          <w:p>
            <w:pPr>
              <w:spacing w:line="257" w:lineRule="auto"/>
              <w:jc w:val="center"/>
              <w:rPr>
                <w:sz w:val="24"/>
                <w:szCs w:val="24"/>
              </w:rPr>
            </w:pPr>
          </w:p>
          <w:p>
            <w:pPr>
              <w:pStyle w:val="66"/>
              <w:jc w:val="center"/>
              <w:rPr>
                <w:rFonts w:hint="eastAsia"/>
                <w:lang w:eastAsia="zh-CN"/>
              </w:rPr>
            </w:pPr>
            <w:r>
              <w:rPr>
                <w:rFonts w:hint="eastAsia"/>
                <w:lang w:eastAsia="zh-CN"/>
              </w:rPr>
              <w:t>投标总价</w:t>
            </w:r>
          </w:p>
        </w:tc>
        <w:tc>
          <w:tcPr>
            <w:tcW w:w="1442" w:type="dxa"/>
            <w:noWrap w:val="0"/>
            <w:vAlign w:val="center"/>
          </w:tcPr>
          <w:p>
            <w:pPr>
              <w:pStyle w:val="66"/>
              <w:rPr>
                <w:rFonts w:hint="eastAsia" w:eastAsia="宋体"/>
                <w:lang w:eastAsia="zh-CN"/>
              </w:rPr>
            </w:pPr>
            <w:r>
              <w:t>大写</w:t>
            </w:r>
          </w:p>
        </w:tc>
        <w:tc>
          <w:tcPr>
            <w:tcW w:w="564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continue"/>
            <w:tcBorders>
              <w:top w:val="nil"/>
            </w:tcBorders>
            <w:noWrap w:val="0"/>
            <w:vAlign w:val="center"/>
          </w:tcPr>
          <w:p>
            <w:pPr>
              <w:jc w:val="center"/>
              <w:rPr>
                <w:rFonts w:hint="eastAsia" w:ascii="宋体" w:hAnsi="宋体" w:cs="宋体"/>
                <w:sz w:val="24"/>
                <w:szCs w:val="24"/>
              </w:rPr>
            </w:pPr>
          </w:p>
        </w:tc>
        <w:tc>
          <w:tcPr>
            <w:tcW w:w="1442" w:type="dxa"/>
            <w:noWrap w:val="0"/>
            <w:vAlign w:val="center"/>
          </w:tcPr>
          <w:p>
            <w:pPr>
              <w:pStyle w:val="66"/>
              <w:rPr>
                <w:rFonts w:hint="eastAsia"/>
              </w:rPr>
            </w:pPr>
            <w:r>
              <w:t>小写</w:t>
            </w:r>
          </w:p>
        </w:tc>
        <w:tc>
          <w:tcPr>
            <w:tcW w:w="5644" w:type="dxa"/>
            <w:noWrap w:val="0"/>
            <w:vAlign w:val="center"/>
          </w:tcPr>
          <w:p>
            <w:pPr>
              <w:ind w:firstLine="240" w:firstLineChars="100"/>
              <w:rPr>
                <w:rFonts w:hint="eastAsia" w:ascii="宋体" w:hAnsi="宋体" w:cs="宋体"/>
                <w:sz w:val="24"/>
                <w:szCs w:val="24"/>
              </w:rPr>
            </w:pPr>
            <w:r>
              <w:rPr>
                <w:rFonts w:hint="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lang w:eastAsia="zh-CN"/>
              </w:rPr>
            </w:pPr>
            <w:r>
              <w:rPr>
                <w:rFonts w:hint="eastAsia"/>
                <w:lang w:eastAsia="zh-CN"/>
              </w:rPr>
              <w:t>服务范围</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lang w:eastAsia="zh-CN"/>
              </w:rPr>
            </w:pPr>
            <w:r>
              <w:rPr>
                <w:rFonts w:hint="eastAsia"/>
                <w:lang w:eastAsia="zh-CN"/>
              </w:rPr>
              <w:t>服务要求</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rPr>
            </w:pPr>
            <w:r>
              <w:rPr>
                <w:rFonts w:hint="eastAsia"/>
                <w:lang w:val="en-US" w:eastAsia="zh-CN"/>
              </w:rPr>
              <w:t>质量</w:t>
            </w:r>
            <w:r>
              <w:t>标准</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lang w:eastAsia="zh-CN"/>
              </w:rPr>
            </w:pPr>
            <w:r>
              <w:rPr>
                <w:rFonts w:hint="eastAsia"/>
                <w:lang w:val="en-US" w:eastAsia="zh-CN"/>
              </w:rPr>
              <w:t>工期</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rFonts w:hint="default"/>
                <w:lang w:val="en-US" w:eastAsia="zh-CN"/>
              </w:rPr>
            </w:pPr>
            <w:r>
              <w:rPr>
                <w:rFonts w:hint="eastAsia"/>
                <w:lang w:val="en-US" w:eastAsia="zh-CN"/>
              </w:rPr>
              <w:t>服务期限</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rFonts w:hint="eastAsia"/>
                <w:lang w:eastAsia="zh-CN"/>
              </w:rPr>
            </w:pPr>
            <w:r>
              <w:t>备注</w:t>
            </w:r>
          </w:p>
        </w:tc>
        <w:tc>
          <w:tcPr>
            <w:tcW w:w="7086" w:type="dxa"/>
            <w:gridSpan w:val="2"/>
            <w:noWrap w:val="0"/>
            <w:vAlign w:val="top"/>
          </w:tcPr>
          <w:p>
            <w:pPr>
              <w:rPr>
                <w:rFonts w:hint="eastAsia" w:ascii="宋体" w:hAnsi="宋体" w:cs="宋体"/>
              </w:rPr>
            </w:pPr>
          </w:p>
        </w:tc>
      </w:tr>
    </w:tbl>
    <w:p>
      <w:pPr>
        <w:pStyle w:val="68"/>
        <w:rPr>
          <w:rStyle w:val="59"/>
        </w:rPr>
      </w:pPr>
    </w:p>
    <w:p>
      <w:pPr>
        <w:pStyle w:val="68"/>
        <w:rPr>
          <w:rStyle w:val="59"/>
        </w:rPr>
      </w:pPr>
    </w:p>
    <w:p>
      <w:pPr>
        <w:widowControl/>
        <w:kinsoku w:val="0"/>
        <w:autoSpaceDE w:val="0"/>
        <w:autoSpaceDN w:val="0"/>
        <w:adjustRightInd w:val="0"/>
        <w:snapToGrid w:val="0"/>
        <w:spacing w:line="360" w:lineRule="auto"/>
        <w:ind w:firstLine="612"/>
        <w:textAlignment w:val="baseline"/>
        <w:rPr>
          <w:rFonts w:hint="eastAsia" w:ascii="宋体" w:hAnsi="宋体" w:cs="宋体"/>
          <w:sz w:val="24"/>
          <w:szCs w:val="24"/>
        </w:rPr>
      </w:pPr>
      <w:r>
        <w:rPr>
          <w:rFonts w:hint="eastAsia" w:ascii="宋体" w:hAnsi="宋体" w:cs="宋体"/>
          <w:sz w:val="24"/>
          <w:szCs w:val="24"/>
        </w:rPr>
        <w:t>投标总价应是招标文件所确定的采购需求内的全部工作内容的价格体现，包括但不限于服务期间产生的设备配件维护、修理、更换费用，材料费、人工费、人员意外、经济纠纷、税金等各项费用，报价若有遗漏，均应免费提供。</w:t>
      </w:r>
    </w:p>
    <w:p>
      <w:pPr>
        <w:pStyle w:val="68"/>
        <w:ind w:left="0" w:firstLine="0"/>
        <w:rPr>
          <w:rStyle w:val="59"/>
        </w:rPr>
      </w:pPr>
    </w:p>
    <w:p>
      <w:pPr>
        <w:pStyle w:val="68"/>
        <w:rPr>
          <w:rStyle w:val="59"/>
        </w:rPr>
      </w:pPr>
    </w:p>
    <w:p>
      <w:pPr>
        <w:spacing w:line="360" w:lineRule="auto"/>
        <w:rPr>
          <w:rStyle w:val="59"/>
          <w:rFonts w:ascii="宋体" w:hAnsi="宋体"/>
          <w:kern w:val="0"/>
          <w:sz w:val="24"/>
        </w:rPr>
      </w:pPr>
      <w:r>
        <w:rPr>
          <w:rStyle w:val="59"/>
          <w:rFonts w:ascii="宋体" w:hAnsi="宋体"/>
          <w:kern w:val="0"/>
          <w:sz w:val="24"/>
        </w:rPr>
        <w:t xml:space="preserve">    </w:t>
      </w:r>
      <w:r>
        <w:rPr>
          <w:rFonts w:hint="eastAsia" w:ascii="宋体" w:hAnsi="宋体" w:cs="宋体"/>
          <w:sz w:val="24"/>
        </w:rPr>
        <w:t>投标人</w:t>
      </w:r>
      <w:r>
        <w:rPr>
          <w:rStyle w:val="59"/>
          <w:rFonts w:hint="eastAsia" w:ascii="宋体" w:hAnsi="宋体"/>
          <w:kern w:val="0"/>
          <w:sz w:val="24"/>
        </w:rPr>
        <w:t>名称</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（公章）</w:t>
      </w:r>
    </w:p>
    <w:p>
      <w:pPr>
        <w:spacing w:line="360" w:lineRule="auto"/>
        <w:rPr>
          <w:rStyle w:val="59"/>
          <w:rFonts w:ascii="宋体" w:hAnsi="宋体"/>
          <w:kern w:val="0"/>
          <w:sz w:val="24"/>
        </w:rPr>
      </w:pPr>
      <w:r>
        <w:rPr>
          <w:rStyle w:val="59"/>
          <w:rFonts w:ascii="宋体" w:hAnsi="宋体"/>
          <w:kern w:val="0"/>
          <w:sz w:val="24"/>
        </w:rPr>
        <w:t xml:space="preserve">    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pStyle w:val="67"/>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w:t>
      </w:r>
      <w:r>
        <w:rPr>
          <w:rFonts w:hint="eastAsia" w:eastAsia="Times New Roman" w:cs="宋体"/>
          <w:b/>
          <w:color w:val="auto"/>
          <w:kern w:val="2"/>
          <w:sz w:val="24"/>
          <w:szCs w:val="24"/>
          <w:highlight w:val="none"/>
          <w:lang w:val="en-US" w:eastAsia="zh-CN" w:bidi="ar-SA"/>
        </w:rPr>
        <w:t>二</w:t>
      </w:r>
      <w:r>
        <w:rPr>
          <w:rFonts w:hint="eastAsia" w:ascii="宋体" w:hAnsi="宋体" w:eastAsia="Times New Roman" w:cs="宋体"/>
          <w:b/>
          <w:color w:val="auto"/>
          <w:kern w:val="2"/>
          <w:sz w:val="24"/>
          <w:szCs w:val="24"/>
          <w:highlight w:val="none"/>
          <w:lang w:val="en-US" w:eastAsia="zh-CN" w:bidi="ar-SA"/>
        </w:rPr>
        <w:t>）投标</w:t>
      </w:r>
      <w:r>
        <w:rPr>
          <w:rFonts w:hint="eastAsia" w:eastAsia="Times New Roman" w:cs="宋体"/>
          <w:b/>
          <w:color w:val="auto"/>
          <w:kern w:val="2"/>
          <w:sz w:val="24"/>
          <w:szCs w:val="24"/>
          <w:highlight w:val="none"/>
          <w:lang w:val="en-US" w:eastAsia="zh-CN" w:bidi="ar-SA"/>
        </w:rPr>
        <w:t>明细</w:t>
      </w:r>
      <w:r>
        <w:rPr>
          <w:rFonts w:hint="eastAsia" w:ascii="宋体" w:hAnsi="宋体" w:eastAsia="Times New Roman" w:cs="宋体"/>
          <w:b/>
          <w:color w:val="auto"/>
          <w:kern w:val="2"/>
          <w:sz w:val="24"/>
          <w:szCs w:val="24"/>
          <w:highlight w:val="none"/>
          <w:lang w:val="en-US" w:eastAsia="zh-CN" w:bidi="ar-SA"/>
        </w:rPr>
        <w:t>表</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供应商名称：                         (加盖供应商公章)          单位：元(人民币)</w:t>
      </w:r>
    </w:p>
    <w:tbl>
      <w:tblPr>
        <w:tblStyle w:val="19"/>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602"/>
        <w:gridCol w:w="1623"/>
        <w:gridCol w:w="880"/>
        <w:gridCol w:w="1127"/>
        <w:gridCol w:w="682"/>
        <w:gridCol w:w="1150"/>
        <w:gridCol w:w="123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生产厂家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品牌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default"/>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default" w:eastAsia="宋体"/>
                <w:sz w:val="21"/>
                <w:szCs w:val="21"/>
                <w:lang w:val="en-US" w:eastAsia="zh-CN"/>
              </w:rPr>
            </w:pPr>
            <w:r>
              <w:rPr>
                <w:rFonts w:hint="eastAsia" w:eastAsia="宋体"/>
                <w:sz w:val="21"/>
                <w:szCs w:val="21"/>
                <w:lang w:val="en-US" w:eastAsia="zh-CN"/>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总计（小写）</w:t>
            </w:r>
          </w:p>
        </w:tc>
      </w:tr>
    </w:tbl>
    <w:p>
      <w:pPr>
        <w:spacing w:line="360" w:lineRule="auto"/>
        <w:ind w:firstLine="1056" w:firstLineChars="400"/>
        <w:rPr>
          <w:rFonts w:hint="default" w:ascii="宋体" w:hAnsi="宋体" w:eastAsia="宋体" w:cs="Times New Roman"/>
          <w:b/>
          <w:highlight w:val="none"/>
          <w:lang w:val="en-US" w:eastAsia="zh-CN"/>
        </w:rPr>
      </w:pPr>
      <w:r>
        <w:rPr>
          <w:rFonts w:hint="eastAsia" w:ascii="宋体" w:hAnsi="宋体" w:cs="宋体"/>
          <w:spacing w:val="12"/>
          <w:sz w:val="24"/>
          <w:szCs w:val="24"/>
          <w:highlight w:val="none"/>
        </w:rPr>
        <w:t>法定代表人或</w:t>
      </w:r>
      <w:r>
        <w:rPr>
          <w:rFonts w:hint="eastAsia" w:ascii="宋体" w:hAnsi="宋体" w:cs="宋体"/>
          <w:spacing w:val="12"/>
          <w:sz w:val="24"/>
          <w:szCs w:val="24"/>
          <w:highlight w:val="none"/>
          <w:lang w:eastAsia="zh-CN"/>
        </w:rPr>
        <w:t>委托</w:t>
      </w:r>
      <w:r>
        <w:rPr>
          <w:rFonts w:hint="eastAsia" w:ascii="宋体" w:hAnsi="宋体" w:cs="宋体"/>
          <w:spacing w:val="12"/>
          <w:sz w:val="24"/>
          <w:szCs w:val="24"/>
          <w:highlight w:val="none"/>
        </w:rPr>
        <w:t>代理人：(签字或盖章)</w:t>
      </w: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 xml:space="preserve">         日期：</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rPr>
        <w:t>注：</w:t>
      </w:r>
    </w:p>
    <w:p>
      <w:pPr>
        <w:numPr>
          <w:ilvl w:val="0"/>
          <w:numId w:val="9"/>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表格不足可续填，不可缺项。</w:t>
      </w:r>
    </w:p>
    <w:p>
      <w:pPr>
        <w:numPr>
          <w:ilvl w:val="0"/>
          <w:numId w:val="9"/>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spacing w:line="360" w:lineRule="auto"/>
        <w:ind w:firstLine="843" w:firstLineChars="400"/>
        <w:rPr>
          <w:rFonts w:ascii="宋体" w:hAnsi="宋体" w:eastAsia="宋体" w:cs="Times New Roman"/>
          <w:b/>
          <w:highlight w:val="none"/>
        </w:rPr>
      </w:pPr>
      <w:r>
        <w:rPr>
          <w:rFonts w:hint="eastAsia" w:ascii="宋体" w:hAnsi="宋体" w:eastAsia="宋体" w:cs="Times New Roman"/>
          <w:b/>
          <w:highlight w:val="none"/>
          <w:lang w:val="en-US" w:eastAsia="zh-CN"/>
        </w:rPr>
        <w:t>3</w:t>
      </w:r>
      <w:r>
        <w:rPr>
          <w:rFonts w:hint="eastAsia" w:ascii="宋体" w:hAnsi="宋体" w:eastAsia="宋体" w:cs="Times New Roman"/>
          <w:b/>
          <w:highlight w:val="none"/>
        </w:rPr>
        <w:t>、</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响应文件中提交的报价为首次报价，最终</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结果以最终报价为准。</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lang w:val="en-US" w:eastAsia="zh-CN"/>
        </w:rPr>
        <w:t>4</w:t>
      </w:r>
      <w:r>
        <w:rPr>
          <w:rFonts w:hint="eastAsia" w:ascii="宋体" w:hAnsi="宋体" w:eastAsia="宋体" w:cs="Times New Roman"/>
          <w:b/>
          <w:highlight w:val="none"/>
        </w:rPr>
        <w:t>、供应商二次报价需按</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报价表格式填写，在规定时间内没有做出二次报价的为无效响应。</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5、投标人未提供二次报价表的，以初次报价为最终报价。</w:t>
      </w:r>
    </w:p>
    <w:p>
      <w:p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lang w:val="en-US" w:eastAsia="zh-CN"/>
        </w:rPr>
        <w:t>6、第二次报价高于第一次报价，则该次报价无效。同时，任意一次报价均不能高于招标控制价，否则属于无效报价。</w:t>
      </w:r>
    </w:p>
    <w:p>
      <w:pPr>
        <w:spacing w:line="360" w:lineRule="auto"/>
        <w:ind w:firstLine="843" w:firstLineChars="400"/>
        <w:rPr>
          <w:rFonts w:hint="default" w:ascii="宋体" w:hAnsi="宋体" w:eastAsia="宋体" w:cs="Times New Roman"/>
          <w:b/>
          <w:highlight w:val="none"/>
          <w:lang w:val="en-US" w:eastAsia="zh-CN"/>
        </w:rPr>
      </w:pPr>
    </w:p>
    <w:p>
      <w:pPr>
        <w:spacing w:line="360" w:lineRule="auto"/>
        <w:jc w:val="center"/>
        <w:rPr>
          <w:rFonts w:hint="eastAsia" w:ascii="宋体" w:hAnsi="宋体" w:eastAsia="宋体" w:cs="宋体"/>
          <w:spacing w:val="-1"/>
          <w:position w:val="2"/>
          <w:sz w:val="21"/>
          <w:szCs w:val="21"/>
          <w:highlight w:val="none"/>
          <w:lang w:val="en-US" w:eastAsia="zh-CN"/>
        </w:rPr>
      </w:pPr>
    </w:p>
    <w:p>
      <w:pPr>
        <w:spacing w:line="360" w:lineRule="auto"/>
        <w:jc w:val="center"/>
        <w:rPr>
          <w:rFonts w:ascii="宋体" w:hAnsi="宋体" w:cs="宋体"/>
          <w:b/>
          <w:bCs/>
          <w:color w:val="auto"/>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bookmarkStart w:id="43" w:name="_Toc66805782"/>
      <w:bookmarkStart w:id="44" w:name="_Toc66798268"/>
      <w:bookmarkStart w:id="45" w:name="_Toc66805997"/>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auto"/>
        <w:jc w:val="center"/>
        <w:rPr>
          <w:rFonts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cs="宋体"/>
          <w:b/>
          <w:color w:val="auto"/>
          <w:sz w:val="24"/>
          <w:szCs w:val="24"/>
          <w:highlight w:val="none"/>
        </w:rPr>
        <w:t>、供应商资质证明文件</w:t>
      </w:r>
    </w:p>
    <w:p>
      <w:pPr>
        <w:pStyle w:val="36"/>
        <w:spacing w:line="360" w:lineRule="auto"/>
        <w:ind w:firstLine="480"/>
        <w:rPr>
          <w:rFonts w:eastAsia="宋体" w:cs="宋体"/>
          <w:bCs/>
          <w:color w:val="auto"/>
          <w:szCs w:val="24"/>
          <w:highlight w:val="none"/>
        </w:rPr>
      </w:pPr>
      <w:r>
        <w:rPr>
          <w:rFonts w:hint="eastAsia" w:cs="宋体"/>
          <w:color w:val="auto"/>
          <w:szCs w:val="24"/>
          <w:highlight w:val="none"/>
        </w:rPr>
        <w:t>资格审查表中要求的证明资料复印件加盖公章。</w:t>
      </w:r>
    </w:p>
    <w:p>
      <w:pPr>
        <w:pStyle w:val="36"/>
        <w:ind w:firstLine="480"/>
        <w:rPr>
          <w:rFonts w:eastAsia="宋体" w:cs="宋体"/>
          <w:bCs/>
          <w:color w:val="auto"/>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pStyle w:val="36"/>
        <w:ind w:firstLine="480"/>
        <w:rPr>
          <w:color w:val="auto"/>
          <w:szCs w:val="24"/>
          <w:highlight w:val="none"/>
        </w:rPr>
      </w:pPr>
    </w:p>
    <w:p>
      <w:pPr>
        <w:pStyle w:val="36"/>
        <w:ind w:firstLine="482"/>
        <w:rPr>
          <w:rFonts w:cs="宋体"/>
          <w:b/>
          <w:color w:val="auto"/>
          <w:szCs w:val="24"/>
          <w:highlight w:val="none"/>
        </w:rPr>
      </w:pPr>
    </w:p>
    <w:p>
      <w:pPr>
        <w:pStyle w:val="36"/>
        <w:ind w:firstLine="482"/>
        <w:rPr>
          <w:rFonts w:cs="宋体"/>
          <w:b/>
          <w:color w:val="auto"/>
          <w:szCs w:val="24"/>
          <w:highlight w:val="none"/>
        </w:rPr>
      </w:pPr>
    </w:p>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rPr>
        <w:t>、辅助资料</w:t>
      </w:r>
    </w:p>
    <w:p>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供应商基本情况表</w:t>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6"/>
        <w:ind w:firstLine="482"/>
        <w:rPr>
          <w:rFonts w:cs="宋体"/>
          <w:b/>
          <w:color w:val="auto"/>
          <w:szCs w:val="24"/>
          <w:highlight w:val="none"/>
        </w:rPr>
      </w:pPr>
    </w:p>
    <w:bookmarkEnd w:id="43"/>
    <w:bookmarkEnd w:id="44"/>
    <w:bookmarkEnd w:id="45"/>
    <w:p>
      <w:pPr>
        <w:pStyle w:val="36"/>
        <w:ind w:firstLine="482"/>
        <w:rPr>
          <w:rFonts w:cs="宋体"/>
          <w:b/>
          <w:color w:val="auto"/>
          <w:szCs w:val="24"/>
          <w:highlight w:val="none"/>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highlight w:val="none"/>
        </w:rPr>
      </w:pPr>
      <w:r>
        <w:rPr>
          <w:rFonts w:hint="eastAsia" w:ascii="宋体" w:hAnsi="宋体" w:eastAsia="宋体" w:cs="宋体"/>
          <w:color w:val="auto"/>
          <w:kern w:val="0"/>
          <w:sz w:val="24"/>
          <w:szCs w:val="24"/>
          <w:highlight w:val="none"/>
        </w:rPr>
        <w:t>年   月   日</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numPr>
          <w:ilvl w:val="0"/>
          <w:numId w:val="10"/>
        </w:numPr>
        <w:adjustRightInd w:val="0"/>
        <w:snapToGri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投标偏离表</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59"/>
          <w:rFonts w:ascii="宋体" w:hAnsi="宋体"/>
          <w:b/>
          <w:bCs/>
          <w:kern w:val="0"/>
          <w:sz w:val="24"/>
        </w:rPr>
      </w:pPr>
      <w:r>
        <w:rPr>
          <w:rStyle w:val="59"/>
          <w:rFonts w:hint="eastAsia" w:ascii="宋体" w:hAnsi="宋体" w:eastAsia="宋体"/>
          <w:b/>
          <w:bCs/>
          <w:kern w:val="0"/>
          <w:sz w:val="24"/>
          <w:lang w:eastAsia="zh-CN"/>
        </w:rPr>
        <w:t>（</w:t>
      </w:r>
      <w:r>
        <w:rPr>
          <w:rStyle w:val="59"/>
          <w:rFonts w:hint="eastAsia" w:ascii="宋体" w:hAnsi="宋体" w:eastAsia="宋体"/>
          <w:b/>
          <w:bCs/>
          <w:kern w:val="0"/>
          <w:sz w:val="24"/>
          <w:lang w:val="en-US" w:eastAsia="zh-CN"/>
        </w:rPr>
        <w:t>一</w:t>
      </w:r>
      <w:r>
        <w:rPr>
          <w:rStyle w:val="59"/>
          <w:rFonts w:hint="eastAsia" w:ascii="宋体" w:hAnsi="宋体" w:eastAsia="宋体"/>
          <w:b/>
          <w:bCs/>
          <w:kern w:val="0"/>
          <w:sz w:val="24"/>
          <w:lang w:eastAsia="zh-CN"/>
        </w:rPr>
        <w:t>）</w:t>
      </w:r>
      <w:r>
        <w:rPr>
          <w:rStyle w:val="59"/>
          <w:rFonts w:hint="eastAsia" w:ascii="宋体" w:hAnsi="宋体"/>
          <w:b/>
          <w:bCs/>
          <w:kern w:val="0"/>
          <w:sz w:val="24"/>
        </w:rPr>
        <w:t>商务偏离表</w:t>
      </w:r>
    </w:p>
    <w:p>
      <w:pPr>
        <w:spacing w:line="360" w:lineRule="auto"/>
        <w:rPr>
          <w:rStyle w:val="59"/>
          <w:rFonts w:hint="eastAsia" w:ascii="宋体" w:hAnsi="宋体"/>
          <w:sz w:val="24"/>
        </w:rPr>
      </w:pPr>
      <w:r>
        <w:rPr>
          <w:rStyle w:val="59"/>
          <w:rFonts w:ascii="宋体" w:hAnsi="宋体"/>
          <w:kern w:val="0"/>
          <w:sz w:val="24"/>
        </w:rPr>
        <w:t>项目名称：</w:t>
      </w:r>
    </w:p>
    <w:p>
      <w:pPr>
        <w:spacing w:line="360" w:lineRule="auto"/>
        <w:ind w:right="1080"/>
        <w:rPr>
          <w:rStyle w:val="59"/>
          <w:rFonts w:hint="eastAsia" w:ascii="宋体" w:hAnsi="宋体"/>
          <w:kern w:val="0"/>
          <w:sz w:val="24"/>
        </w:rPr>
      </w:pPr>
      <w:r>
        <w:rPr>
          <w:rStyle w:val="59"/>
          <w:rFonts w:ascii="宋体" w:hAnsi="宋体"/>
          <w:kern w:val="0"/>
          <w:sz w:val="24"/>
        </w:rPr>
        <w:t>项目编号：</w:t>
      </w:r>
    </w:p>
    <w:tbl>
      <w:tblPr>
        <w:tblStyle w:val="19"/>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567"/>
        <w:gridCol w:w="1650"/>
        <w:gridCol w:w="1500"/>
        <w:gridCol w:w="1966"/>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806" w:type="dxa"/>
            <w:gridSpan w:val="6"/>
            <w:noWrap w:val="0"/>
            <w:vAlign w:val="top"/>
          </w:tcPr>
          <w:p>
            <w:pPr>
              <w:pStyle w:val="69"/>
              <w:spacing w:line="360" w:lineRule="auto"/>
              <w:rPr>
                <w:rFonts w:hint="eastAsia" w:hAnsi="宋体" w:cs="宋体"/>
                <w:sz w:val="24"/>
                <w:szCs w:val="24"/>
              </w:rPr>
            </w:pPr>
            <w:r>
              <w:rPr>
                <w:rFonts w:hint="eastAsia" w:hAnsi="宋体" w:cs="宋体"/>
                <w:sz w:val="24"/>
                <w:szCs w:val="24"/>
              </w:rPr>
              <w:t>对本项目商务条款的偏离情况（请进行勾选）：</w:t>
            </w:r>
          </w:p>
          <w:p>
            <w:pPr>
              <w:pStyle w:val="69"/>
              <w:spacing w:line="360" w:lineRule="auto"/>
              <w:rPr>
                <w:rFonts w:hint="eastAsia" w:hAnsi="宋体" w:cs="宋体"/>
                <w:sz w:val="24"/>
                <w:szCs w:val="24"/>
              </w:rPr>
            </w:pPr>
            <w:r>
              <w:rPr>
                <w:rFonts w:hint="eastAsia" w:hAnsi="宋体" w:cs="宋体"/>
                <w:sz w:val="24"/>
                <w:szCs w:val="24"/>
              </w:rPr>
              <w:t>□无偏离（如无偏离，仅勾选无偏离即可）</w:t>
            </w:r>
          </w:p>
          <w:p>
            <w:pPr>
              <w:pStyle w:val="69"/>
              <w:spacing w:line="360" w:lineRule="auto"/>
              <w:rPr>
                <w:szCs w:val="28"/>
              </w:rPr>
            </w:pPr>
            <w:r>
              <w:rPr>
                <w:rFonts w:hint="eastAsia" w:hAnsi="宋体" w:cs="宋体"/>
                <w:sz w:val="24"/>
                <w:szCs w:val="24"/>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6"/>
              <w:spacing w:before="16"/>
              <w:ind w:left="35"/>
              <w:jc w:val="center"/>
              <w:outlineLvl w:val="2"/>
            </w:pPr>
            <w:r>
              <w:t>序</w:t>
            </w:r>
          </w:p>
          <w:p>
            <w:pPr>
              <w:pStyle w:val="66"/>
              <w:spacing w:before="15"/>
              <w:ind w:left="43"/>
              <w:jc w:val="center"/>
            </w:pPr>
            <w:r>
              <w:t>号</w:t>
            </w:r>
          </w:p>
        </w:tc>
        <w:tc>
          <w:tcPr>
            <w:tcW w:w="1567" w:type="dxa"/>
            <w:tcBorders>
              <w:left w:val="single" w:color="000000" w:sz="2" w:space="0"/>
            </w:tcBorders>
            <w:noWrap w:val="0"/>
            <w:vAlign w:val="center"/>
          </w:tcPr>
          <w:p>
            <w:pPr>
              <w:pStyle w:val="66"/>
              <w:spacing w:before="239"/>
              <w:ind w:left="33"/>
              <w:jc w:val="center"/>
              <w:outlineLvl w:val="2"/>
              <w:rPr>
                <w:lang w:eastAsia="zh-CN"/>
              </w:rPr>
            </w:pPr>
            <w:r>
              <w:rPr>
                <w:rFonts w:hint="eastAsia"/>
                <w:lang w:eastAsia="zh-CN"/>
              </w:rPr>
              <w:t>招标文件条款</w:t>
            </w:r>
          </w:p>
        </w:tc>
        <w:tc>
          <w:tcPr>
            <w:tcW w:w="1650" w:type="dxa"/>
            <w:noWrap w:val="0"/>
            <w:vAlign w:val="center"/>
          </w:tcPr>
          <w:p>
            <w:pPr>
              <w:pStyle w:val="66"/>
              <w:spacing w:before="15"/>
              <w:jc w:val="center"/>
              <w:rPr>
                <w:lang w:eastAsia="zh-CN"/>
              </w:rPr>
            </w:pPr>
            <w:r>
              <w:rPr>
                <w:rFonts w:hint="eastAsia"/>
                <w:lang w:eastAsia="zh-CN"/>
              </w:rPr>
              <w:t>招标文件要求</w:t>
            </w:r>
          </w:p>
        </w:tc>
        <w:tc>
          <w:tcPr>
            <w:tcW w:w="1500" w:type="dxa"/>
            <w:noWrap w:val="0"/>
            <w:vAlign w:val="center"/>
          </w:tcPr>
          <w:p>
            <w:pPr>
              <w:pStyle w:val="66"/>
              <w:spacing w:before="16"/>
              <w:ind w:left="34"/>
              <w:jc w:val="center"/>
              <w:outlineLvl w:val="2"/>
            </w:pPr>
            <w:r>
              <w:rPr>
                <w:spacing w:val="3"/>
              </w:rPr>
              <w:t>投标文件</w:t>
            </w:r>
          </w:p>
          <w:p>
            <w:pPr>
              <w:pStyle w:val="66"/>
              <w:spacing w:before="15"/>
              <w:ind w:left="45"/>
              <w:jc w:val="center"/>
            </w:pPr>
            <w:r>
              <w:rPr>
                <w:spacing w:val="-7"/>
              </w:rPr>
              <w:t>响应</w:t>
            </w:r>
            <w:r>
              <w:rPr>
                <w:rFonts w:hint="eastAsia"/>
                <w:spacing w:val="-7"/>
              </w:rPr>
              <w:t>情况</w:t>
            </w:r>
          </w:p>
        </w:tc>
        <w:tc>
          <w:tcPr>
            <w:tcW w:w="1966" w:type="dxa"/>
            <w:noWrap w:val="0"/>
            <w:vAlign w:val="center"/>
          </w:tcPr>
          <w:p>
            <w:pPr>
              <w:pStyle w:val="66"/>
              <w:spacing w:before="239"/>
              <w:ind w:left="32"/>
              <w:jc w:val="center"/>
              <w:outlineLvl w:val="2"/>
              <w:rPr>
                <w:spacing w:val="-8"/>
              </w:rPr>
            </w:pPr>
            <w:r>
              <w:rPr>
                <w:spacing w:val="-8"/>
              </w:rPr>
              <w:t>偏 离 情 况</w:t>
            </w:r>
          </w:p>
          <w:p>
            <w:pPr>
              <w:pStyle w:val="66"/>
              <w:spacing w:before="17"/>
              <w:ind w:left="41"/>
              <w:jc w:val="center"/>
            </w:pPr>
            <w:r>
              <w:rPr>
                <w:spacing w:val="15"/>
              </w:rPr>
              <w:t>（优于、低</w:t>
            </w:r>
            <w:r>
              <w:rPr>
                <w:spacing w:val="-8"/>
              </w:rPr>
              <w:t>于）</w:t>
            </w:r>
          </w:p>
        </w:tc>
        <w:tc>
          <w:tcPr>
            <w:tcW w:w="1317" w:type="dxa"/>
            <w:noWrap w:val="0"/>
            <w:vAlign w:val="center"/>
          </w:tcPr>
          <w:p>
            <w:pPr>
              <w:pStyle w:val="66"/>
              <w:spacing w:before="16"/>
              <w:ind w:left="39"/>
              <w:jc w:val="center"/>
              <w:outlineLvl w:val="2"/>
            </w:pPr>
            <w:r>
              <w:rPr>
                <w:spacing w:val="8"/>
              </w:rPr>
              <w:t>备注（简要注明偏离的</w:t>
            </w:r>
            <w:r>
              <w:rPr>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1</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2</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3</w:t>
            </w:r>
          </w:p>
        </w:tc>
        <w:tc>
          <w:tcPr>
            <w:tcW w:w="1567" w:type="dxa"/>
            <w:tcBorders>
              <w:left w:val="single" w:color="000000" w:sz="2" w:space="0"/>
            </w:tcBorders>
            <w:noWrap w:val="0"/>
            <w:vAlign w:val="center"/>
          </w:tcPr>
          <w:p>
            <w:pPr>
              <w:snapToGrid w:val="0"/>
              <w:spacing w:line="360" w:lineRule="auto"/>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sz w:val="24"/>
                <w:szCs w:val="24"/>
              </w:rPr>
              <w:t>...</w:t>
            </w:r>
          </w:p>
        </w:tc>
        <w:tc>
          <w:tcPr>
            <w:tcW w:w="1567"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bl>
    <w:p>
      <w:pPr>
        <w:spacing w:before="241" w:line="220" w:lineRule="auto"/>
        <w:ind w:firstLine="480" w:firstLineChars="200"/>
        <w:jc w:val="left"/>
        <w:outlineLvl w:val="2"/>
        <w:rPr>
          <w:rFonts w:ascii="宋体" w:hAnsi="宋体" w:cs="宋体"/>
          <w:sz w:val="28"/>
          <w:szCs w:val="28"/>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adjustRightInd w:val="0"/>
        <w:snapToGrid w:val="0"/>
        <w:spacing w:line="360" w:lineRule="auto"/>
        <w:outlineLvl w:val="1"/>
        <w:rPr>
          <w:rFonts w:hint="eastAsia" w:ascii="宋体" w:hAnsi="宋体" w:cs="宋体"/>
          <w:b/>
          <w:spacing w:val="12"/>
          <w:szCs w:val="21"/>
        </w:rPr>
      </w:pPr>
    </w:p>
    <w:p>
      <w:pPr>
        <w:adjustRightInd w:val="0"/>
        <w:snapToGrid w:val="0"/>
        <w:spacing w:line="360" w:lineRule="auto"/>
        <w:outlineLvl w:val="1"/>
        <w:rPr>
          <w:rFonts w:hint="eastAsia" w:ascii="宋体" w:hAnsi="宋体" w:cs="宋体"/>
          <w:b/>
          <w:spacing w:val="12"/>
          <w:szCs w:val="21"/>
        </w:rPr>
      </w:pPr>
    </w:p>
    <w:p>
      <w:pPr>
        <w:spacing w:line="360" w:lineRule="auto"/>
        <w:rPr>
          <w:rStyle w:val="59"/>
          <w:rFonts w:ascii="宋体" w:hAnsi="宋体"/>
          <w:kern w:val="0"/>
          <w:sz w:val="24"/>
        </w:rPr>
      </w:pPr>
      <w:r>
        <w:rPr>
          <w:rStyle w:val="59"/>
          <w:rFonts w:ascii="宋体" w:hAnsi="宋体"/>
          <w:kern w:val="0"/>
          <w:sz w:val="24"/>
        </w:rPr>
        <w:t xml:space="preserve"> </w:t>
      </w:r>
      <w:r>
        <w:rPr>
          <w:rStyle w:val="59"/>
          <w:rFonts w:hint="eastAsia" w:ascii="宋体" w:hAnsi="宋体"/>
          <w:kern w:val="0"/>
          <w:sz w:val="24"/>
        </w:rPr>
        <w:t xml:space="preserve">  </w:t>
      </w:r>
      <w:r>
        <w:rPr>
          <w:rStyle w:val="59"/>
          <w:rFonts w:ascii="宋体" w:hAnsi="宋体"/>
          <w:kern w:val="0"/>
          <w:sz w:val="24"/>
        </w:rPr>
        <w:t xml:space="preserve"> </w:t>
      </w:r>
      <w:r>
        <w:rPr>
          <w:rFonts w:hint="eastAsia" w:ascii="宋体" w:hAnsi="宋体" w:cs="宋体"/>
          <w:sz w:val="24"/>
        </w:rPr>
        <w:t>投标人</w:t>
      </w:r>
      <w:r>
        <w:rPr>
          <w:rStyle w:val="59"/>
          <w:rFonts w:ascii="宋体" w:hAnsi="宋体"/>
          <w:kern w:val="0"/>
          <w:sz w:val="24"/>
        </w:rPr>
        <w:t>名称：</w:t>
      </w:r>
      <w:r>
        <w:rPr>
          <w:rStyle w:val="59"/>
          <w:rFonts w:hint="eastAsia" w:ascii="宋体" w:hAnsi="宋体"/>
          <w:kern w:val="0"/>
          <w:sz w:val="24"/>
          <w:u w:val="single"/>
        </w:rPr>
        <w:t xml:space="preserve">                   </w:t>
      </w:r>
      <w:r>
        <w:rPr>
          <w:rStyle w:val="59"/>
          <w:rFonts w:ascii="宋体" w:hAnsi="宋体"/>
          <w:kern w:val="0"/>
          <w:sz w:val="24"/>
        </w:rPr>
        <w:t>（盖章）</w:t>
      </w:r>
    </w:p>
    <w:p>
      <w:pPr>
        <w:spacing w:line="360" w:lineRule="auto"/>
        <w:rPr>
          <w:rStyle w:val="59"/>
          <w:rFonts w:ascii="宋体" w:hAnsi="宋体"/>
          <w:kern w:val="0"/>
          <w:sz w:val="24"/>
        </w:rPr>
      </w:pPr>
      <w:r>
        <w:rPr>
          <w:rStyle w:val="59"/>
          <w:rFonts w:ascii="宋体" w:hAnsi="宋体"/>
          <w:kern w:val="0"/>
          <w:sz w:val="24"/>
        </w:rPr>
        <w:t xml:space="preserve">    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59"/>
          <w:rFonts w:hint="default" w:ascii="宋体" w:hAnsi="宋体" w:eastAsia="宋体" w:cs="Times New Roman"/>
          <w:b/>
          <w:bCs/>
          <w:kern w:val="0"/>
          <w:sz w:val="24"/>
          <w:lang w:val="en-US" w:eastAsia="zh-CN"/>
        </w:rPr>
      </w:pPr>
      <w:r>
        <w:rPr>
          <w:rStyle w:val="59"/>
          <w:rFonts w:hint="eastAsia" w:ascii="宋体" w:hAnsi="宋体" w:eastAsia="宋体"/>
          <w:b/>
          <w:bCs/>
          <w:kern w:val="0"/>
          <w:sz w:val="24"/>
          <w:lang w:eastAsia="zh-CN"/>
        </w:rPr>
        <w:t>（</w:t>
      </w:r>
      <w:r>
        <w:rPr>
          <w:rStyle w:val="59"/>
          <w:rFonts w:hint="eastAsia" w:ascii="宋体" w:hAnsi="宋体" w:eastAsia="宋体"/>
          <w:b/>
          <w:bCs/>
          <w:kern w:val="0"/>
          <w:sz w:val="24"/>
          <w:lang w:val="en-US" w:eastAsia="zh-CN"/>
        </w:rPr>
        <w:t>二</w:t>
      </w:r>
      <w:r>
        <w:rPr>
          <w:rStyle w:val="59"/>
          <w:rFonts w:hint="eastAsia" w:ascii="宋体" w:hAnsi="宋体" w:eastAsia="宋体"/>
          <w:b/>
          <w:bCs/>
          <w:kern w:val="0"/>
          <w:sz w:val="24"/>
          <w:lang w:eastAsia="zh-CN"/>
        </w:rPr>
        <w:t>）</w:t>
      </w:r>
      <w:r>
        <w:rPr>
          <w:rStyle w:val="59"/>
          <w:rFonts w:hint="eastAsia" w:ascii="宋体" w:hAnsi="宋体" w:eastAsia="宋体" w:cs="Times New Roman"/>
          <w:b/>
          <w:bCs/>
          <w:kern w:val="0"/>
          <w:sz w:val="24"/>
          <w:lang w:val="en-US" w:eastAsia="zh-CN"/>
        </w:rPr>
        <w:t>建设清单偏离表</w:t>
      </w:r>
    </w:p>
    <w:p>
      <w:pPr>
        <w:spacing w:line="360" w:lineRule="auto"/>
        <w:rPr>
          <w:rStyle w:val="59"/>
          <w:rFonts w:ascii="宋体" w:hAnsi="宋体"/>
          <w:kern w:val="0"/>
          <w:sz w:val="24"/>
          <w:highlight w:val="none"/>
        </w:rPr>
      </w:pPr>
    </w:p>
    <w:p>
      <w:pPr>
        <w:spacing w:line="360" w:lineRule="auto"/>
        <w:rPr>
          <w:rStyle w:val="59"/>
          <w:rFonts w:hint="eastAsia" w:ascii="宋体" w:hAnsi="宋体"/>
          <w:sz w:val="24"/>
          <w:highlight w:val="none"/>
        </w:rPr>
      </w:pPr>
      <w:r>
        <w:rPr>
          <w:rStyle w:val="59"/>
          <w:rFonts w:ascii="宋体" w:hAnsi="宋体"/>
          <w:kern w:val="0"/>
          <w:sz w:val="24"/>
          <w:highlight w:val="none"/>
        </w:rPr>
        <w:t>项目名称：</w:t>
      </w:r>
    </w:p>
    <w:p>
      <w:pPr>
        <w:spacing w:line="360" w:lineRule="auto"/>
        <w:ind w:right="1080"/>
        <w:rPr>
          <w:rStyle w:val="59"/>
          <w:rFonts w:hint="eastAsia" w:ascii="宋体" w:hAnsi="宋体"/>
          <w:kern w:val="0"/>
          <w:sz w:val="24"/>
          <w:highlight w:val="none"/>
        </w:rPr>
      </w:pPr>
      <w:r>
        <w:rPr>
          <w:rStyle w:val="59"/>
          <w:rFonts w:ascii="宋体" w:hAnsi="宋体"/>
          <w:kern w:val="0"/>
          <w:sz w:val="24"/>
          <w:highlight w:val="none"/>
        </w:rPr>
        <w:t>项目编号：</w:t>
      </w:r>
    </w:p>
    <w:tbl>
      <w:tblPr>
        <w:tblStyle w:val="19"/>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394"/>
        <w:gridCol w:w="1367"/>
        <w:gridCol w:w="1666"/>
        <w:gridCol w:w="2134"/>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9017" w:type="dxa"/>
            <w:gridSpan w:val="6"/>
            <w:noWrap w:val="0"/>
            <w:vAlign w:val="top"/>
          </w:tcPr>
          <w:p>
            <w:pPr>
              <w:pStyle w:val="69"/>
              <w:spacing w:line="360" w:lineRule="auto"/>
              <w:rPr>
                <w:rFonts w:hint="eastAsia" w:hAnsi="宋体" w:cs="宋体"/>
                <w:sz w:val="24"/>
                <w:szCs w:val="24"/>
                <w:highlight w:val="none"/>
              </w:rPr>
            </w:pPr>
            <w:r>
              <w:rPr>
                <w:rFonts w:hint="eastAsia" w:hAnsi="宋体" w:cs="宋体"/>
                <w:sz w:val="24"/>
                <w:szCs w:val="24"/>
                <w:highlight w:val="none"/>
              </w:rPr>
              <w:t>对本项目建设清单参数的偏离情况（请进行勾选）：</w:t>
            </w:r>
          </w:p>
          <w:p>
            <w:pPr>
              <w:pStyle w:val="69"/>
              <w:spacing w:line="360" w:lineRule="auto"/>
              <w:rPr>
                <w:rFonts w:hint="eastAsia" w:hAnsi="宋体" w:cs="宋体"/>
                <w:sz w:val="24"/>
                <w:szCs w:val="24"/>
                <w:highlight w:val="none"/>
              </w:rPr>
            </w:pPr>
            <w:r>
              <w:rPr>
                <w:rFonts w:hint="eastAsia" w:hAnsi="宋体" w:cs="宋体"/>
                <w:sz w:val="24"/>
                <w:szCs w:val="24"/>
                <w:highlight w:val="none"/>
              </w:rPr>
              <w:t>□无偏离（如无偏离，仅勾选无偏离即可）</w:t>
            </w:r>
          </w:p>
          <w:p>
            <w:pPr>
              <w:pStyle w:val="69"/>
              <w:spacing w:line="360" w:lineRule="auto"/>
              <w:rPr>
                <w:rFonts w:hint="eastAsia" w:hAnsi="宋体" w:cs="宋体"/>
                <w:sz w:val="24"/>
                <w:szCs w:val="24"/>
                <w:highlight w:val="none"/>
              </w:rPr>
            </w:pPr>
            <w:r>
              <w:rPr>
                <w:rFonts w:hint="eastAsia" w:hAnsi="宋体" w:cs="宋体"/>
                <w:sz w:val="24"/>
                <w:szCs w:val="24"/>
                <w:highlight w:val="none"/>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6"/>
              <w:spacing w:before="16"/>
              <w:ind w:left="35"/>
              <w:jc w:val="center"/>
              <w:outlineLvl w:val="2"/>
              <w:rPr>
                <w:rFonts w:hint="eastAsia"/>
              </w:rPr>
            </w:pPr>
            <w:r>
              <w:rPr>
                <w:rFonts w:hint="eastAsia"/>
              </w:rPr>
              <w:t>序</w:t>
            </w:r>
          </w:p>
          <w:p>
            <w:pPr>
              <w:pStyle w:val="66"/>
              <w:spacing w:before="15"/>
              <w:ind w:left="43"/>
              <w:jc w:val="center"/>
              <w:rPr>
                <w:rFonts w:hint="eastAsia"/>
              </w:rPr>
            </w:pPr>
            <w:r>
              <w:rPr>
                <w:rFonts w:hint="eastAsia"/>
              </w:rPr>
              <w:t>号</w:t>
            </w:r>
          </w:p>
        </w:tc>
        <w:tc>
          <w:tcPr>
            <w:tcW w:w="1394" w:type="dxa"/>
            <w:tcBorders>
              <w:left w:val="single" w:color="000000" w:sz="2" w:space="0"/>
            </w:tcBorders>
            <w:noWrap w:val="0"/>
            <w:vAlign w:val="center"/>
          </w:tcPr>
          <w:p>
            <w:pPr>
              <w:pStyle w:val="66"/>
              <w:spacing w:before="239"/>
              <w:ind w:left="33"/>
              <w:jc w:val="center"/>
              <w:outlineLvl w:val="2"/>
              <w:rPr>
                <w:rFonts w:hint="eastAsia"/>
                <w:lang w:eastAsia="zh-CN"/>
              </w:rPr>
            </w:pPr>
            <w:r>
              <w:rPr>
                <w:rFonts w:hint="eastAsia"/>
                <w:lang w:eastAsia="zh-CN"/>
              </w:rPr>
              <w:t>招标文件条款</w:t>
            </w:r>
          </w:p>
        </w:tc>
        <w:tc>
          <w:tcPr>
            <w:tcW w:w="1367" w:type="dxa"/>
            <w:noWrap w:val="0"/>
            <w:vAlign w:val="center"/>
          </w:tcPr>
          <w:p>
            <w:pPr>
              <w:pStyle w:val="66"/>
              <w:spacing w:before="15"/>
              <w:jc w:val="center"/>
              <w:rPr>
                <w:rFonts w:hint="eastAsia"/>
                <w:lang w:eastAsia="zh-CN"/>
              </w:rPr>
            </w:pPr>
            <w:r>
              <w:rPr>
                <w:rFonts w:hint="eastAsia"/>
                <w:lang w:eastAsia="zh-CN"/>
              </w:rPr>
              <w:t>招标文件要求</w:t>
            </w:r>
          </w:p>
        </w:tc>
        <w:tc>
          <w:tcPr>
            <w:tcW w:w="1666" w:type="dxa"/>
            <w:noWrap w:val="0"/>
            <w:vAlign w:val="center"/>
          </w:tcPr>
          <w:p>
            <w:pPr>
              <w:pStyle w:val="66"/>
              <w:spacing w:before="16"/>
              <w:ind w:left="34"/>
              <w:jc w:val="center"/>
              <w:outlineLvl w:val="2"/>
              <w:rPr>
                <w:rFonts w:hint="eastAsia"/>
              </w:rPr>
            </w:pPr>
            <w:r>
              <w:rPr>
                <w:rFonts w:hint="eastAsia"/>
                <w:spacing w:val="3"/>
              </w:rPr>
              <w:t>投标文件</w:t>
            </w:r>
          </w:p>
          <w:p>
            <w:pPr>
              <w:pStyle w:val="66"/>
              <w:spacing w:before="15"/>
              <w:ind w:left="45"/>
              <w:jc w:val="center"/>
              <w:rPr>
                <w:rFonts w:hint="eastAsia"/>
              </w:rPr>
            </w:pPr>
            <w:r>
              <w:rPr>
                <w:rFonts w:hint="eastAsia"/>
                <w:spacing w:val="-7"/>
              </w:rPr>
              <w:t>响应情况</w:t>
            </w:r>
          </w:p>
        </w:tc>
        <w:tc>
          <w:tcPr>
            <w:tcW w:w="2134" w:type="dxa"/>
            <w:noWrap w:val="0"/>
            <w:vAlign w:val="center"/>
          </w:tcPr>
          <w:p>
            <w:pPr>
              <w:pStyle w:val="66"/>
              <w:spacing w:before="239"/>
              <w:ind w:left="32"/>
              <w:jc w:val="center"/>
              <w:outlineLvl w:val="2"/>
              <w:rPr>
                <w:rFonts w:hint="eastAsia"/>
                <w:spacing w:val="-8"/>
              </w:rPr>
            </w:pPr>
            <w:r>
              <w:rPr>
                <w:rFonts w:hint="eastAsia"/>
                <w:spacing w:val="-8"/>
              </w:rPr>
              <w:t>偏 离 情 况</w:t>
            </w:r>
          </w:p>
          <w:p>
            <w:pPr>
              <w:pStyle w:val="66"/>
              <w:spacing w:before="17"/>
              <w:ind w:left="41"/>
              <w:jc w:val="center"/>
              <w:rPr>
                <w:rFonts w:hint="eastAsia"/>
              </w:rPr>
            </w:pPr>
            <w:r>
              <w:rPr>
                <w:rFonts w:hint="eastAsia"/>
                <w:spacing w:val="15"/>
              </w:rPr>
              <w:t>（优于、低</w:t>
            </w:r>
            <w:r>
              <w:rPr>
                <w:rFonts w:hint="eastAsia"/>
                <w:spacing w:val="-8"/>
              </w:rPr>
              <w:t>于）</w:t>
            </w:r>
          </w:p>
        </w:tc>
        <w:tc>
          <w:tcPr>
            <w:tcW w:w="1650" w:type="dxa"/>
            <w:noWrap w:val="0"/>
            <w:vAlign w:val="center"/>
          </w:tcPr>
          <w:p>
            <w:pPr>
              <w:pStyle w:val="66"/>
              <w:spacing w:before="16"/>
              <w:ind w:left="39"/>
              <w:jc w:val="center"/>
              <w:outlineLvl w:val="2"/>
              <w:rPr>
                <w:rFonts w:hint="eastAsia"/>
              </w:rPr>
            </w:pPr>
            <w:r>
              <w:rPr>
                <w:rFonts w:hint="eastAsia"/>
                <w:spacing w:val="8"/>
              </w:rPr>
              <w:t>备注（简要注明偏离的</w:t>
            </w:r>
            <w:r>
              <w:rPr>
                <w:rFonts w:hint="eastAsia"/>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1</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2</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3</w:t>
            </w:r>
          </w:p>
        </w:tc>
        <w:tc>
          <w:tcPr>
            <w:tcW w:w="1394" w:type="dxa"/>
            <w:tcBorders>
              <w:left w:val="single" w:color="000000" w:sz="2" w:space="0"/>
            </w:tcBorders>
            <w:noWrap w:val="0"/>
            <w:vAlign w:val="center"/>
          </w:tcPr>
          <w:p>
            <w:pPr>
              <w:snapToGri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w:t>
            </w:r>
          </w:p>
        </w:tc>
        <w:tc>
          <w:tcPr>
            <w:tcW w:w="1394"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bl>
    <w:p>
      <w:pPr>
        <w:widowControl/>
        <w:ind w:firstLine="480" w:firstLineChars="200"/>
        <w:jc w:val="left"/>
        <w:rPr>
          <w:rFonts w:ascii="宋体" w:hAnsi="宋体" w:cs="宋体"/>
          <w:sz w:val="24"/>
          <w:szCs w:val="24"/>
        </w:rPr>
      </w:pPr>
    </w:p>
    <w:p>
      <w:pPr>
        <w:widowControl/>
        <w:ind w:firstLine="480" w:firstLineChars="200"/>
        <w:jc w:val="left"/>
        <w:rPr>
          <w:rFonts w:hint="eastAsia" w:ascii="黑体" w:hAnsi="黑体" w:eastAsia="黑体" w:cs="黑体"/>
          <w:sz w:val="24"/>
          <w:szCs w:val="24"/>
          <w:u w:val="single" w:color="000000"/>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360" w:lineRule="auto"/>
        <w:ind w:firstLine="480" w:firstLineChars="200"/>
        <w:jc w:val="left"/>
        <w:rPr>
          <w:rStyle w:val="59"/>
          <w:rFonts w:ascii="宋体" w:hAnsi="宋体"/>
          <w:kern w:val="0"/>
          <w:sz w:val="24"/>
        </w:rPr>
      </w:pPr>
      <w:r>
        <w:rPr>
          <w:rFonts w:hint="eastAsia" w:ascii="宋体" w:hAnsi="宋体" w:cs="宋体"/>
          <w:sz w:val="24"/>
        </w:rPr>
        <w:t>投标人</w:t>
      </w:r>
      <w:r>
        <w:rPr>
          <w:rStyle w:val="59"/>
          <w:rFonts w:ascii="宋体" w:hAnsi="宋体"/>
          <w:kern w:val="0"/>
          <w:sz w:val="24"/>
        </w:rPr>
        <w:t>名称：</w:t>
      </w:r>
      <w:r>
        <w:rPr>
          <w:rStyle w:val="59"/>
          <w:rFonts w:hint="eastAsia" w:ascii="宋体" w:hAnsi="宋体"/>
          <w:kern w:val="0"/>
          <w:sz w:val="24"/>
          <w:u w:val="single"/>
        </w:rPr>
        <w:t xml:space="preserve">                   </w:t>
      </w:r>
      <w:r>
        <w:rPr>
          <w:rStyle w:val="59"/>
          <w:rFonts w:ascii="宋体" w:hAnsi="宋体"/>
          <w:kern w:val="0"/>
          <w:sz w:val="24"/>
        </w:rPr>
        <w:t>（盖章）</w:t>
      </w:r>
    </w:p>
    <w:p>
      <w:pPr>
        <w:spacing w:line="360" w:lineRule="auto"/>
        <w:ind w:firstLine="480" w:firstLineChars="200"/>
        <w:rPr>
          <w:rStyle w:val="59"/>
          <w:rFonts w:ascii="宋体" w:hAnsi="宋体"/>
          <w:kern w:val="0"/>
          <w:sz w:val="24"/>
        </w:rPr>
      </w:pPr>
      <w:r>
        <w:rPr>
          <w:rStyle w:val="59"/>
          <w:rFonts w:ascii="宋体" w:hAnsi="宋体"/>
          <w:kern w:val="0"/>
          <w:sz w:val="24"/>
        </w:rPr>
        <w:t>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firstLineChars="20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adjustRightInd w:val="0"/>
        <w:snapToGrid w:val="0"/>
        <w:spacing w:line="360" w:lineRule="auto"/>
        <w:jc w:val="both"/>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spacing w:before="57" w:line="247" w:lineRule="auto"/>
        <w:ind w:left="192" w:right="37" w:firstLine="420"/>
        <w:rPr>
          <w:rFonts w:hint="default" w:ascii="宋体" w:hAnsi="宋体" w:eastAsia="宋体" w:cs="宋体"/>
          <w:b/>
          <w:bCs/>
          <w:spacing w:val="-9"/>
          <w:sz w:val="22"/>
          <w:szCs w:val="22"/>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both"/>
        <w:rPr>
          <w:rFonts w:hint="eastAsia" w:ascii="宋体" w:hAnsi="宋体" w:eastAsia="宋体" w:cs="宋体"/>
          <w:b/>
          <w:color w:val="auto"/>
          <w:sz w:val="24"/>
          <w:szCs w:val="24"/>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eastAsia="zh-CN"/>
        </w:rPr>
        <w:t>服务方案</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格式自拟</w:t>
      </w: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numPr>
          <w:ilvl w:val="0"/>
          <w:numId w:val="0"/>
        </w:numPr>
        <w:ind w:left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八、</w:t>
      </w:r>
      <w:r>
        <w:rPr>
          <w:rFonts w:hint="eastAsia" w:ascii="宋体" w:hAnsi="宋体" w:cs="宋体"/>
          <w:b/>
          <w:color w:val="auto"/>
          <w:sz w:val="24"/>
          <w:szCs w:val="24"/>
          <w:highlight w:val="none"/>
        </w:rPr>
        <w:t>供应商认为有必要提供的其它资料</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spacing w:line="360" w:lineRule="auto"/>
        <w:jc w:val="center"/>
        <w:rPr>
          <w:rFonts w:hint="eastAsia" w:ascii="宋体" w:hAnsi="宋体" w:cs="宋体"/>
          <w:b/>
          <w:bCs/>
          <w:sz w:val="32"/>
          <w:szCs w:val="28"/>
          <w:lang w:val="zh-TW" w:bidi="zh-TW"/>
        </w:rPr>
      </w:pPr>
      <w:r>
        <w:rPr>
          <w:rFonts w:hint="eastAsia" w:ascii="宋体" w:hAnsi="宋体" w:cs="宋体"/>
          <w:b/>
          <w:bCs/>
          <w:sz w:val="32"/>
          <w:szCs w:val="28"/>
          <w:lang w:val="zh-TW" w:eastAsia="zh-TW" w:bidi="zh-TW"/>
        </w:rPr>
        <w:t>满足《中华人民共和国政府采购法》第二十二条规定条件</w:t>
      </w:r>
      <w:r>
        <w:rPr>
          <w:rFonts w:hint="eastAsia" w:ascii="宋体" w:hAnsi="宋体" w:cs="宋体"/>
          <w:b/>
          <w:bCs/>
          <w:sz w:val="32"/>
          <w:szCs w:val="28"/>
          <w:lang w:val="zh-TW" w:bidi="zh-TW"/>
        </w:rPr>
        <w:t>的</w:t>
      </w:r>
    </w:p>
    <w:p>
      <w:pPr>
        <w:spacing w:line="360" w:lineRule="auto"/>
        <w:jc w:val="center"/>
        <w:rPr>
          <w:rFonts w:ascii="宋体" w:hAnsi="宋体" w:cs="宋体"/>
          <w:b/>
          <w:bCs/>
          <w:sz w:val="32"/>
          <w:szCs w:val="28"/>
          <w:lang w:val="zh-TW" w:eastAsia="zh-TW" w:bidi="zh-TW"/>
        </w:rPr>
      </w:pPr>
      <w:r>
        <w:rPr>
          <w:rFonts w:hint="eastAsia" w:ascii="宋体" w:hAnsi="宋体" w:cs="宋体"/>
          <w:b/>
          <w:bCs/>
          <w:sz w:val="32"/>
          <w:szCs w:val="28"/>
          <w:lang w:val="zh-TW" w:eastAsia="zh-TW" w:bidi="zh-TW"/>
        </w:rPr>
        <w:t>承诺函</w:t>
      </w:r>
    </w:p>
    <w:p>
      <w:pPr>
        <w:spacing w:line="340" w:lineRule="exact"/>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我单位具备《中华人民共和国政府采购法》第二十二条所规定的条件。</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（一）具有独立承担民事责任的能力；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（二）具有良好的商业信誉和健全的财务会计制度；</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（三）具有履行合同所必需的设备和专业技术能力；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（四）有依法缴纳税收和社会保障资金的良好记录；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（五）参加政府采购活动前三年内，在经营活动中没有重大违法记录；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（六）法律、行政法规规定的其他条件。</w:t>
      </w:r>
    </w:p>
    <w:p>
      <w:pPr>
        <w:spacing w:line="360" w:lineRule="auto"/>
        <w:ind w:firstLine="600" w:firstLineChars="250"/>
        <w:rPr>
          <w:rFonts w:ascii="宋体" w:hAnsi="宋体" w:cs="宋体"/>
          <w:bCs/>
          <w:sz w:val="24"/>
          <w:szCs w:val="28"/>
          <w:lang w:val="zh-TW" w:eastAsia="zh-TW" w:bidi="zh-TW"/>
        </w:rPr>
      </w:pPr>
      <w:r>
        <w:rPr>
          <w:rFonts w:hint="eastAsia" w:ascii="宋体" w:hAnsi="宋体" w:cs="宋体"/>
          <w:bCs/>
          <w:sz w:val="24"/>
          <w:szCs w:val="28"/>
          <w:lang w:val="zh-TW" w:eastAsia="zh-TW" w:bidi="zh-TW"/>
        </w:rPr>
        <w:t>本次采购活动中，如有违法、违规、弄虚作假行为，所造成的损失、不良后果及法律责任，一律由我单位承担。</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特此声明！</w:t>
      </w: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bidi="zh-TW"/>
        </w:rPr>
        <w:t>投标人</w:t>
      </w:r>
      <w:r>
        <w:rPr>
          <w:rFonts w:hint="eastAsia" w:ascii="宋体" w:hAnsi="宋体" w:cs="宋体"/>
          <w:bCs/>
          <w:sz w:val="24"/>
          <w:szCs w:val="28"/>
          <w:lang w:val="zh-TW" w:eastAsia="zh-TW" w:bidi="zh-TW"/>
        </w:rPr>
        <w:t>：（公章）</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法定代表人或委托代理人：（签字或</w:t>
      </w:r>
      <w:r>
        <w:rPr>
          <w:rFonts w:hint="eastAsia" w:ascii="宋体" w:hAnsi="宋体" w:cs="宋体"/>
          <w:bCs/>
          <w:sz w:val="24"/>
          <w:szCs w:val="28"/>
          <w:lang w:val="zh-TW" w:bidi="zh-TW"/>
        </w:rPr>
        <w:t>盖章</w:t>
      </w:r>
      <w:r>
        <w:rPr>
          <w:rFonts w:hint="eastAsia" w:ascii="宋体" w:hAnsi="宋体" w:cs="宋体"/>
          <w:bCs/>
          <w:sz w:val="24"/>
          <w:szCs w:val="28"/>
          <w:lang w:val="zh-TW" w:eastAsia="zh-TW" w:bidi="zh-TW"/>
        </w:rPr>
        <w:t>）</w:t>
      </w:r>
    </w:p>
    <w:p>
      <w:pPr>
        <w:spacing w:line="360" w:lineRule="auto"/>
        <w:ind w:firstLine="480" w:firstLineChars="200"/>
        <w:rPr>
          <w:rFonts w:ascii="宋体" w:hAnsi="宋体" w:cs="宋体"/>
          <w:bCs/>
          <w:sz w:val="22"/>
          <w:szCs w:val="24"/>
        </w:rPr>
      </w:pPr>
      <w:r>
        <w:rPr>
          <w:rFonts w:hint="eastAsia" w:ascii="宋体" w:hAnsi="宋体" w:cs="宋体"/>
          <w:bCs/>
          <w:sz w:val="24"/>
          <w:szCs w:val="28"/>
          <w:lang w:val="zh-TW" w:eastAsia="zh-TW" w:bidi="zh-TW"/>
        </w:rPr>
        <w:t>日</w:t>
      </w:r>
      <w:r>
        <w:rPr>
          <w:rFonts w:ascii="宋体" w:hAnsi="宋体" w:cs="宋体"/>
          <w:bCs/>
          <w:sz w:val="24"/>
          <w:szCs w:val="28"/>
          <w:lang w:val="zh-TW" w:eastAsia="zh-TW" w:bidi="zh-TW"/>
        </w:rPr>
        <w:t xml:space="preserve"> </w:t>
      </w:r>
      <w:r>
        <w:rPr>
          <w:rFonts w:hint="eastAsia" w:ascii="宋体" w:hAnsi="宋体" w:cs="宋体"/>
          <w:bCs/>
          <w:sz w:val="24"/>
          <w:szCs w:val="28"/>
          <w:lang w:val="zh-TW" w:eastAsia="zh-TW" w:bidi="zh-TW"/>
        </w:rPr>
        <w:t>期：</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both"/>
        <w:rPr>
          <w:rFonts w:hint="eastAsia" w:ascii="宋体" w:hAnsi="宋体" w:cs="宋体"/>
          <w:b/>
          <w:color w:val="auto"/>
          <w:sz w:val="24"/>
          <w:szCs w:val="24"/>
          <w:highlight w:val="none"/>
        </w:rPr>
      </w:pPr>
    </w:p>
    <w:p>
      <w:pPr>
        <w:numPr>
          <w:ilvl w:val="0"/>
          <w:numId w:val="0"/>
        </w:numPr>
        <w:jc w:val="center"/>
        <w:rPr>
          <w:rFonts w:hint="eastAsia" w:eastAsia="宋体"/>
          <w:color w:val="auto"/>
          <w:sz w:val="32"/>
          <w:szCs w:val="32"/>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Times New Roman" w:hAnsi="Times New Roman" w:eastAsia="宋体" w:cs="Times New Roman"/>
          <w:b/>
          <w:bCs/>
          <w:color w:val="auto"/>
          <w:sz w:val="32"/>
          <w:szCs w:val="32"/>
          <w:highlight w:val="none"/>
          <w:lang w:val="en-US" w:eastAsia="zh-CN"/>
        </w:rPr>
        <w:t xml:space="preserve">第五章 </w:t>
      </w:r>
      <w:r>
        <w:rPr>
          <w:rFonts w:hint="eastAsia" w:eastAsia="宋体"/>
          <w:b/>
          <w:bCs/>
          <w:color w:val="auto"/>
          <w:sz w:val="32"/>
          <w:szCs w:val="32"/>
          <w:highlight w:val="none"/>
          <w:lang w:val="en-US" w:eastAsia="zh-CN"/>
        </w:rPr>
        <w:t>磋商内容、磋商程序、成交原则、评标标准</w:t>
      </w:r>
    </w:p>
    <w:p>
      <w:pPr>
        <w:numPr>
          <w:ilvl w:val="0"/>
          <w:numId w:val="0"/>
        </w:numPr>
        <w:jc w:val="both"/>
        <w:rPr>
          <w:rFonts w:hint="eastAsia" w:eastAsia="宋体"/>
          <w:color w:val="auto"/>
          <w:sz w:val="32"/>
          <w:szCs w:val="32"/>
          <w:highlight w:val="none"/>
          <w:lang w:val="en-US" w:eastAsia="zh-CN"/>
        </w:rPr>
      </w:pP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1、磋商内容：</w:t>
      </w:r>
      <w:r>
        <w:rPr>
          <w:rFonts w:hint="eastAsia" w:ascii="宋体" w:hAnsi="宋体" w:eastAsia="宋体" w:cs="宋体"/>
          <w:color w:val="auto"/>
          <w:sz w:val="24"/>
          <w:szCs w:val="24"/>
          <w:highlight w:val="none"/>
        </w:rPr>
        <w:t>服务要求、商务要求、价格及服务期限等。</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2、磋商程序：</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组成磋商小组。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名专家组成磋商小组。磋商开始前磋商小组推荐 1 人担任磋商小组组长。</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第二步，</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根据本次磋商文件规定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对各供应商提供的资质资料进行审查，以确定其是否具备磋商资格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不符合条件的供应商取消其磋商资格。</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第三步，磋商小组根据本磋商文件规定对有效供应商的磋商响应文件进行评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磋商小组与各有效供应商分别进行磋商。磋商过程中磋商双方不得涉及其他供应商的有关磋商信息。</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对各供应商的商务、技术无疑议后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如需对商务或技术要求进行实 质性修改时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须同时面对并同时通知所有参加磋商的供应商，所有技术和商务要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求必须在最终报价前谈定，最终报价不得高于上一轮报价。</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磋商小组根据磋商情况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按照磋商文件规定的评分标准对各有效供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应商进行评分。</w:t>
      </w:r>
    </w:p>
    <w:p>
      <w:pPr>
        <w:numPr>
          <w:ilvl w:val="0"/>
          <w:numId w:val="0"/>
        </w:numPr>
        <w:spacing w:line="360" w:lineRule="auto"/>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rPr>
        <w:t>磋商会议期间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供应商法定代表人或授权的委托代理人须</w:t>
      </w:r>
      <w:r>
        <w:rPr>
          <w:rFonts w:hint="eastAsia" w:ascii="宋体" w:hAnsi="宋体" w:eastAsia="宋体" w:cs="宋体"/>
          <w:color w:val="auto"/>
          <w:sz w:val="24"/>
          <w:szCs w:val="24"/>
          <w:highlight w:val="none"/>
          <w:lang w:val="en-US" w:eastAsia="zh-CN"/>
        </w:rPr>
        <w:t>在规定的会议室等待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并保持在预留的联系电话畅通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及时接收磋商会议过程中的电话通知等， 以备接收通知或磋商小组质询并做出响应。如因供应商自身原因无法接收通知导致其未在规定时间内对磋商小组做出有效响应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造成的后果和损失由供应商自行承担。</w:t>
      </w:r>
    </w:p>
    <w:p>
      <w:pPr>
        <w:numPr>
          <w:ilvl w:val="0"/>
          <w:numId w:val="0"/>
        </w:numPr>
        <w:spacing w:line="360" w:lineRule="auto"/>
        <w:ind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成交原则：</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）在最大限度满足磋商文件实质性要求前提下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按照磋商文件中规定的各项评分标准综合评审后，将供应商的综合得分由高到低顺序排列。得分相同的， 按响应报价由低到高顺序排列。得分且响应报价相同的， 按技术指标优劣顺序排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成交供应商确定后，成交结果在沧州建投集团官网（http://www.cangzhoujt.com/view/）上</w:t>
      </w:r>
      <w:r>
        <w:rPr>
          <w:rFonts w:hint="eastAsia" w:ascii="宋体" w:hAnsi="宋体" w:eastAsia="宋体" w:cs="宋体"/>
          <w:color w:val="auto"/>
          <w:sz w:val="24"/>
          <w:szCs w:val="24"/>
          <w:highlight w:val="none"/>
        </w:rPr>
        <w:t>公示。</w:t>
      </w:r>
    </w:p>
    <w:p>
      <w:pPr>
        <w:spacing w:line="360" w:lineRule="auto"/>
        <w:ind w:firstLine="525" w:firstLineChars="218"/>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成交供应商凭《</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在30天内</w:t>
      </w:r>
      <w:r>
        <w:rPr>
          <w:rFonts w:hint="eastAsia" w:ascii="宋体" w:hAnsi="宋体" w:eastAsia="宋体" w:cs="宋体"/>
          <w:color w:val="auto"/>
          <w:sz w:val="24"/>
          <w:szCs w:val="24"/>
          <w:highlight w:val="none"/>
        </w:rPr>
        <w:t>与采购人签订合同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否则将取消其成交资格</w:t>
      </w:r>
      <w:r>
        <w:rPr>
          <w:rFonts w:hint="eastAsia" w:ascii="宋体" w:hAnsi="宋体" w:eastAsia="宋体" w:cs="宋体"/>
          <w:color w:val="auto"/>
          <w:sz w:val="24"/>
          <w:szCs w:val="24"/>
          <w:highlight w:val="none"/>
          <w:lang w:eastAsia="zh-CN"/>
        </w:rPr>
        <w:t>。</w:t>
      </w:r>
    </w:p>
    <w:p>
      <w:pPr>
        <w:spacing w:before="208" w:line="468" w:lineRule="exact"/>
        <w:ind w:right="32" w:firstLine="484" w:firstLineChars="200"/>
        <w:jc w:val="both"/>
        <w:rPr>
          <w:rFonts w:ascii="宋体" w:hAnsi="宋体" w:eastAsia="宋体" w:cs="宋体"/>
          <w:spacing w:val="1"/>
          <w:position w:val="17"/>
          <w:sz w:val="24"/>
          <w:szCs w:val="24"/>
          <w:highlight w:val="none"/>
        </w:rPr>
        <w:sectPr>
          <w:pgSz w:w="11907" w:h="16839"/>
          <w:pgMar w:top="1092" w:right="1717" w:bottom="1154" w:left="1769" w:header="1077" w:footer="993" w:gutter="0"/>
          <w:pgNumType w:fmt="decimal" w:start="1"/>
          <w:cols w:space="720" w:num="1"/>
        </w:sectPr>
      </w:pP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rPr>
          <w:rFonts w:hint="eastAsia" w:ascii="宋体" w:hAnsi="宋体" w:eastAsia="宋体" w:cs="宋体"/>
          <w:b/>
          <w:color w:val="auto"/>
          <w:sz w:val="24"/>
          <w:szCs w:val="24"/>
          <w:highlight w:val="none"/>
        </w:rPr>
      </w:pP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19"/>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真实有效(加盖公章)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满足《中华人民共和国政府采购法》第二十二条规定条件的承诺函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以上证件不全者视为未通过资格审查，未通过资格审查的投标人将被取消其中标资格，其商务报价不参与评标基准价的合成。通过资格审查的投标人方可进入以下评标程序。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19"/>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序号</w:t>
            </w:r>
          </w:p>
        </w:tc>
        <w:tc>
          <w:tcPr>
            <w:tcW w:w="240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审查项目</w:t>
            </w:r>
          </w:p>
        </w:tc>
        <w:tc>
          <w:tcPr>
            <w:tcW w:w="563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240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563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1</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投标文件内容</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2</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签字盖章</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3</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投标报价</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4</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投标有效期</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、评标标准</w:t>
      </w:r>
    </w:p>
    <w:p>
      <w:pPr>
        <w:tabs>
          <w:tab w:val="left" w:pos="0"/>
        </w:tabs>
        <w:spacing w:line="360" w:lineRule="auto"/>
        <w:ind w:righ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w:t>
      </w:r>
      <w:r>
        <w:rPr>
          <w:rFonts w:hint="eastAsia" w:ascii="宋体" w:hAnsi="宋体" w:eastAsia="宋体" w:cs="宋体"/>
          <w:color w:val="auto"/>
          <w:sz w:val="24"/>
          <w:szCs w:val="24"/>
          <w:highlight w:val="none"/>
          <w:lang w:val="en-US" w:eastAsia="zh-CN"/>
        </w:rPr>
        <w:t>或电话</w:t>
      </w:r>
      <w:r>
        <w:rPr>
          <w:rFonts w:hint="eastAsia" w:ascii="宋体" w:hAnsi="宋体" w:eastAsia="宋体" w:cs="宋体"/>
          <w:color w:val="auto"/>
          <w:sz w:val="24"/>
          <w:szCs w:val="24"/>
          <w:highlight w:val="none"/>
          <w:lang w:eastAsia="zh-CN"/>
        </w:rPr>
        <w:t>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bookmarkStart w:id="52" w:name="_GoBack"/>
      <w:bookmarkEnd w:id="52"/>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bl>
      <w:tblPr>
        <w:tblStyle w:val="19"/>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5608" w:type="dxa"/>
            <w:vAlign w:val="center"/>
          </w:tcPr>
          <w:p>
            <w:pPr>
              <w:keepNext w:val="0"/>
              <w:keepLines w:val="0"/>
              <w:suppressLineNumbers w:val="0"/>
              <w:spacing w:before="0" w:beforeAutospacing="0" w:after="0" w:afterAutospacing="0" w:line="360" w:lineRule="exact"/>
              <w:ind w:left="0" w:right="0"/>
              <w:rPr>
                <w:rFonts w:hint="default" w:ascii="宋体" w:hAnsi="宋体" w:cs="宋体"/>
                <w:sz w:val="24"/>
                <w:szCs w:val="20"/>
                <w:highlight w:val="none"/>
              </w:rPr>
            </w:pPr>
            <w:r>
              <w:rPr>
                <w:rFonts w:hint="eastAsia" w:ascii="宋体" w:hAnsi="宋体" w:cs="宋体"/>
                <w:sz w:val="24"/>
                <w:szCs w:val="20"/>
                <w:highlight w:val="none"/>
              </w:rPr>
              <w:t>所有算术修正后的</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由低到高排序，有效报价中的最低报价得标准分</w:t>
            </w:r>
            <w:r>
              <w:rPr>
                <w:rFonts w:hint="eastAsia" w:ascii="宋体" w:hAnsi="宋体" w:eastAsia="宋体" w:cs="宋体"/>
                <w:sz w:val="24"/>
                <w:szCs w:val="20"/>
                <w:highlight w:val="none"/>
                <w:lang w:val="en-US" w:eastAsia="zh-CN"/>
              </w:rPr>
              <w:t>3</w:t>
            </w:r>
            <w:r>
              <w:rPr>
                <w:rFonts w:hint="eastAsia" w:ascii="宋体" w:hAnsi="宋体" w:cs="宋体"/>
                <w:sz w:val="24"/>
                <w:szCs w:val="20"/>
                <w:highlight w:val="none"/>
              </w:rPr>
              <w:t>0分，其他</w:t>
            </w:r>
            <w:r>
              <w:rPr>
                <w:rFonts w:hint="eastAsia" w:ascii="宋体" w:hAnsi="宋体" w:cs="宋体"/>
                <w:sz w:val="24"/>
                <w:szCs w:val="20"/>
                <w:highlight w:val="none"/>
                <w:lang w:eastAsia="zh-CN"/>
              </w:rPr>
              <w:t>供应商</w:t>
            </w:r>
            <w:r>
              <w:rPr>
                <w:rFonts w:hint="eastAsia" w:ascii="宋体" w:hAnsi="宋体" w:cs="宋体"/>
                <w:sz w:val="24"/>
                <w:szCs w:val="20"/>
                <w:highlight w:val="none"/>
              </w:rPr>
              <w:t>价格分为：</w:t>
            </w:r>
          </w:p>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得分=（评标基准价/</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w:t>
            </w:r>
            <w:r>
              <w:rPr>
                <w:rFonts w:hint="eastAsia" w:ascii="宋体" w:hAnsi="宋体" w:eastAsia="宋体" w:cs="宋体"/>
                <w:sz w:val="24"/>
                <w:szCs w:val="20"/>
                <w:highlight w:val="none"/>
                <w:lang w:val="en-US" w:eastAsia="zh-CN"/>
              </w:rPr>
              <w:t>3</w:t>
            </w:r>
            <w:r>
              <w:rPr>
                <w:rFonts w:hint="eastAsia" w:ascii="宋体" w:hAnsi="宋体" w:cs="宋体"/>
                <w:sz w:val="24"/>
                <w:szCs w:val="20"/>
                <w:highlight w:val="none"/>
              </w:rPr>
              <w:t>0</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w:t>
      </w: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lang w:eastAsia="zh-CN"/>
        </w:rPr>
        <w:t>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lang w:val="zh-CN"/>
        </w:rPr>
        <w:t>分）</w:t>
      </w:r>
    </w:p>
    <w:tbl>
      <w:tblPr>
        <w:tblStyle w:val="1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7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评分内容</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 xml:space="preserve">分值 </w:t>
            </w:r>
            <w:r>
              <w:rPr>
                <w:rFonts w:hint="eastAsia" w:ascii="宋体" w:hAnsi="宋体"/>
                <w:sz w:val="24"/>
                <w:szCs w:val="24"/>
              </w:rPr>
              <w:t>（分）</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napToGrid w:val="0"/>
                <w:color w:val="000000"/>
                <w:kern w:val="0"/>
                <w:sz w:val="24"/>
                <w:szCs w:val="24"/>
                <w:lang w:bidi="ar"/>
              </w:rPr>
              <w:t>商务指标响应情况</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napToGrid w:val="0"/>
                <w:color w:val="000000"/>
                <w:kern w:val="0"/>
                <w:sz w:val="24"/>
                <w:szCs w:val="24"/>
                <w:lang w:bidi="ar"/>
              </w:rPr>
              <w:t>5</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响应全面，完全满足且部分优于招标文件要求，得5分；</w:t>
            </w:r>
          </w:p>
          <w:p>
            <w:pPr>
              <w:widowControl/>
              <w:kinsoku w:val="0"/>
              <w:autoSpaceDE w:val="0"/>
              <w:autoSpaceDN w:val="0"/>
              <w:adjustRightInd w:val="0"/>
              <w:snapToGrid w:val="0"/>
              <w:spacing w:line="360" w:lineRule="auto"/>
              <w:jc w:val="left"/>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响应满足招标文件要求，得3分；</w:t>
            </w:r>
          </w:p>
          <w:p>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b/>
                <w:bCs/>
                <w:snapToGrid w:val="0"/>
                <w:color w:val="000000"/>
                <w:kern w:val="0"/>
                <w:sz w:val="24"/>
                <w:szCs w:val="24"/>
                <w:lang w:bidi="ar"/>
              </w:rPr>
              <w:t>说明：投标人须知前附表中★项为重要商务指标，投标人有一项不满足的即为无效投标，但可以优于招标文件要求。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技术指标响应情况</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5</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24" w:lineRule="auto"/>
              <w:jc w:val="left"/>
              <w:rPr>
                <w:rFonts w:hint="eastAsia"/>
              </w:rPr>
            </w:pPr>
            <w:r>
              <w:rPr>
                <w:rFonts w:hint="eastAsia" w:ascii="宋体" w:hAnsi="宋体" w:cs="宋体"/>
                <w:snapToGrid w:val="0"/>
                <w:color w:val="000000"/>
                <w:kern w:val="0"/>
                <w:sz w:val="24"/>
                <w:szCs w:val="24"/>
                <w:lang w:bidi="ar"/>
              </w:rPr>
              <w:t>完全满足招标文件技术参数要求的得5分，投标人每有一项技术参数指标低于招标文件要求的减1分，减至0分为止；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建设方案</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20</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根据投标人提供的建设方案进行综合打分，包括不限于：</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①对本项目背景和建设工作内容的理解；</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②系统的体系架构、关键技术要求把握、功能模块实现思路；</w:t>
            </w:r>
          </w:p>
          <w:p>
            <w:pPr>
              <w:widowControl/>
              <w:kinsoku w:val="0"/>
              <w:autoSpaceDE w:val="0"/>
              <w:autoSpaceDN w:val="0"/>
              <w:adjustRightInd w:val="0"/>
              <w:snapToGrid w:val="0"/>
              <w:spacing w:line="324" w:lineRule="auto"/>
              <w:rPr>
                <w:rFonts w:ascii="宋体" w:hAnsi="宋体" w:cs="宋体"/>
                <w:sz w:val="24"/>
                <w:szCs w:val="24"/>
              </w:rPr>
            </w:pPr>
            <w:r>
              <w:rPr>
                <w:rFonts w:ascii="宋体" w:hAnsi="宋体" w:cs="宋体"/>
                <w:sz w:val="24"/>
                <w:szCs w:val="24"/>
              </w:rPr>
              <w:t>每项内容各占</w:t>
            </w:r>
            <w:r>
              <w:rPr>
                <w:rFonts w:hint="eastAsia" w:ascii="宋体" w:hAnsi="宋体" w:cs="宋体"/>
                <w:sz w:val="24"/>
                <w:szCs w:val="24"/>
              </w:rPr>
              <w:t>10</w:t>
            </w:r>
            <w:r>
              <w:rPr>
                <w:rFonts w:ascii="宋体" w:hAnsi="宋体" w:cs="宋体"/>
                <w:sz w:val="24"/>
                <w:szCs w:val="24"/>
              </w:rPr>
              <w:t>分，共计</w:t>
            </w:r>
            <w:r>
              <w:rPr>
                <w:rFonts w:hint="eastAsia" w:ascii="宋体" w:hAnsi="宋体" w:cs="宋体"/>
                <w:sz w:val="24"/>
                <w:szCs w:val="24"/>
              </w:rPr>
              <w:t>2</w:t>
            </w:r>
            <w:r>
              <w:rPr>
                <w:rFonts w:ascii="宋体" w:hAnsi="宋体" w:cs="宋体"/>
                <w:sz w:val="24"/>
                <w:szCs w:val="24"/>
              </w:rPr>
              <w:t>0分；</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每项内容完整详细、详实可行的得10分；</w:t>
            </w:r>
          </w:p>
          <w:p>
            <w:pPr>
              <w:widowControl/>
              <w:kinsoku w:val="0"/>
              <w:autoSpaceDE w:val="0"/>
              <w:autoSpaceDN w:val="0"/>
              <w:adjustRightInd w:val="0"/>
              <w:snapToGrid w:val="0"/>
              <w:spacing w:line="324" w:lineRule="auto"/>
              <w:rPr>
                <w:rFonts w:hint="eastAsia" w:ascii="宋体" w:hAnsi="宋体" w:eastAsia="Times New Roman" w:cs="宋体"/>
                <w:kern w:val="2"/>
                <w:sz w:val="24"/>
                <w:szCs w:val="24"/>
                <w:lang w:val="en-US" w:eastAsia="zh-CN" w:bidi="ar-SA"/>
              </w:rPr>
            </w:pPr>
            <w:r>
              <w:rPr>
                <w:rFonts w:hint="eastAsia" w:ascii="宋体" w:hAnsi="宋体" w:cs="宋体"/>
                <w:sz w:val="24"/>
                <w:szCs w:val="24"/>
              </w:rPr>
              <w:t>每项内容缺项、内容不合理、不清晰或不具体的扣0.01-9.99分。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snapToGrid w:val="0"/>
                <w:color w:val="000000"/>
                <w:kern w:val="0"/>
                <w:sz w:val="24"/>
                <w:szCs w:val="24"/>
                <w:lang w:val="en-US" w:eastAsia="zh-CN" w:bidi="ar"/>
              </w:rPr>
            </w:pPr>
            <w:r>
              <w:rPr>
                <w:rFonts w:hint="eastAsia" w:ascii="宋体" w:hAnsi="宋体" w:cs="宋体"/>
                <w:sz w:val="24"/>
                <w:szCs w:val="24"/>
              </w:rPr>
              <w:t>人员配备</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snapToGrid w:val="0"/>
                <w:color w:val="000000"/>
                <w:kern w:val="0"/>
                <w:sz w:val="24"/>
                <w:szCs w:val="24"/>
                <w:lang w:val="en-US" w:eastAsia="zh-CN" w:bidi="ar"/>
              </w:rPr>
            </w:pPr>
            <w:r>
              <w:rPr>
                <w:rFonts w:hint="eastAsia" w:ascii="宋体" w:hAnsi="宋体" w:cs="宋体"/>
                <w:sz w:val="24"/>
                <w:szCs w:val="24"/>
              </w:rPr>
              <w:t>10</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根据①项目团队人员岗位职责及分工②团队人员管理制度等进行综合打分，每项内容各占5分，共计10分；</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每项内容完整详细、详实可行的得5分；</w:t>
            </w:r>
          </w:p>
          <w:p>
            <w:pPr>
              <w:widowControl/>
              <w:kinsoku w:val="0"/>
              <w:autoSpaceDE w:val="0"/>
              <w:autoSpaceDN w:val="0"/>
              <w:adjustRightInd w:val="0"/>
              <w:snapToGrid w:val="0"/>
              <w:spacing w:line="324" w:lineRule="auto"/>
              <w:rPr>
                <w:rFonts w:hint="eastAsia" w:ascii="宋体" w:hAnsi="宋体" w:eastAsia="Times New Roman" w:cs="宋体"/>
                <w:b/>
                <w:bCs/>
                <w:snapToGrid w:val="0"/>
                <w:color w:val="000000"/>
                <w:kern w:val="0"/>
                <w:sz w:val="24"/>
                <w:szCs w:val="24"/>
                <w:lang w:val="en-US" w:eastAsia="zh-CN" w:bidi="ar"/>
              </w:rPr>
            </w:pPr>
            <w:r>
              <w:rPr>
                <w:rFonts w:hint="eastAsia" w:ascii="宋体" w:hAnsi="宋体" w:cs="宋体"/>
                <w:sz w:val="24"/>
                <w:szCs w:val="24"/>
              </w:rPr>
              <w:t>每项内容缺项、内容不合理、不清晰或不具体的扣0.01-4.99分。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应急措施</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10</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根据日常调度中可能发生系统故障情况，提供①故障应急处理措施②系统运行安全保障措施，每项内容各占5分，共计10分；</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每项内容完整详细、详实可行、有针对性的得5分；</w:t>
            </w:r>
          </w:p>
          <w:p>
            <w:pPr>
              <w:widowControl/>
              <w:kinsoku w:val="0"/>
              <w:autoSpaceDE w:val="0"/>
              <w:autoSpaceDN w:val="0"/>
              <w:adjustRightInd w:val="0"/>
              <w:snapToGrid w:val="0"/>
              <w:spacing w:line="324" w:lineRule="auto"/>
              <w:rPr>
                <w:rFonts w:hint="eastAsia" w:ascii="宋体" w:hAnsi="宋体" w:eastAsia="Times New Roman" w:cs="宋体"/>
                <w:kern w:val="2"/>
                <w:sz w:val="24"/>
                <w:szCs w:val="24"/>
                <w:lang w:val="en-US" w:eastAsia="zh-CN" w:bidi="ar-SA"/>
              </w:rPr>
            </w:pPr>
            <w:r>
              <w:rPr>
                <w:rFonts w:hint="eastAsia" w:ascii="宋体" w:hAnsi="宋体" w:cs="宋体"/>
                <w:sz w:val="24"/>
                <w:szCs w:val="24"/>
              </w:rPr>
              <w:t>每项内容缺项、内容不合理、不清晰或不具体的扣0.01-4.99分。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售后服务方案</w:t>
            </w:r>
          </w:p>
        </w:tc>
        <w:tc>
          <w:tcPr>
            <w:tcW w:w="117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10</w:t>
            </w:r>
          </w:p>
        </w:tc>
        <w:tc>
          <w:tcPr>
            <w:tcW w:w="6940" w:type="dxa"/>
            <w:vAlign w:val="center"/>
          </w:tcPr>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根据投标人提供的售后服务方案包括但不限于①售后响应时效②维保方案及措施等进行综合打分，每项内容各占5分，共计10分；</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每项内容完整详细、详实可行的得5分；</w:t>
            </w:r>
          </w:p>
          <w:p>
            <w:pPr>
              <w:widowControl/>
              <w:kinsoku w:val="0"/>
              <w:autoSpaceDE w:val="0"/>
              <w:autoSpaceDN w:val="0"/>
              <w:adjustRightInd w:val="0"/>
              <w:snapToGrid w:val="0"/>
              <w:spacing w:line="324" w:lineRule="auto"/>
              <w:rPr>
                <w:rFonts w:hint="eastAsia" w:ascii="宋体" w:hAnsi="宋体" w:eastAsia="Times New Roman" w:cs="宋体"/>
                <w:kern w:val="2"/>
                <w:sz w:val="24"/>
                <w:szCs w:val="24"/>
                <w:lang w:val="en-US" w:eastAsia="zh-CN" w:bidi="ar-SA"/>
              </w:rPr>
            </w:pPr>
            <w:r>
              <w:rPr>
                <w:rFonts w:hint="eastAsia" w:ascii="宋体" w:hAnsi="宋体" w:cs="宋体"/>
                <w:sz w:val="24"/>
                <w:szCs w:val="24"/>
              </w:rPr>
              <w:t>每项内容缺项、内容不合理、不清晰或不具体的扣0.01-4.99分。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培训方案</w:t>
            </w:r>
          </w:p>
        </w:tc>
        <w:tc>
          <w:tcPr>
            <w:tcW w:w="1176" w:type="dxa"/>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cs="宋体"/>
                <w:snapToGrid w:val="0"/>
                <w:sz w:val="24"/>
                <w:szCs w:val="24"/>
              </w:rPr>
              <w:t>10</w:t>
            </w:r>
          </w:p>
        </w:tc>
        <w:tc>
          <w:tcPr>
            <w:tcW w:w="6940" w:type="dxa"/>
            <w:vAlign w:val="center"/>
          </w:tcPr>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根据①培训计划②培训内容进行综合打分，每项内容各占5分，共计10分；</w:t>
            </w:r>
          </w:p>
          <w:p>
            <w:pPr>
              <w:widowControl/>
              <w:kinsoku w:val="0"/>
              <w:autoSpaceDE w:val="0"/>
              <w:autoSpaceDN w:val="0"/>
              <w:adjustRightInd w:val="0"/>
              <w:snapToGrid w:val="0"/>
              <w:spacing w:line="324" w:lineRule="auto"/>
              <w:rPr>
                <w:rFonts w:hint="eastAsia" w:ascii="宋体" w:hAnsi="宋体" w:cs="宋体"/>
                <w:sz w:val="24"/>
                <w:szCs w:val="24"/>
              </w:rPr>
            </w:pPr>
            <w:r>
              <w:rPr>
                <w:rFonts w:hint="eastAsia" w:ascii="宋体" w:hAnsi="宋体" w:cs="宋体"/>
                <w:sz w:val="24"/>
                <w:szCs w:val="24"/>
              </w:rPr>
              <w:t>每项内容完整详细、详实可行的得5分；</w:t>
            </w:r>
          </w:p>
          <w:p>
            <w:pPr>
              <w:widowControl/>
              <w:kinsoku w:val="0"/>
              <w:autoSpaceDE w:val="0"/>
              <w:autoSpaceDN w:val="0"/>
              <w:adjustRightInd w:val="0"/>
              <w:snapToGrid w:val="0"/>
              <w:spacing w:line="324" w:lineRule="auto"/>
              <w:rPr>
                <w:rFonts w:hint="eastAsia" w:ascii="宋体" w:hAnsi="宋体" w:eastAsia="Times New Roman" w:cs="宋体"/>
                <w:kern w:val="2"/>
                <w:sz w:val="24"/>
                <w:szCs w:val="24"/>
                <w:lang w:val="en-US" w:eastAsia="zh-CN" w:bidi="ar-SA"/>
              </w:rPr>
            </w:pPr>
            <w:r>
              <w:rPr>
                <w:rFonts w:hint="eastAsia" w:ascii="宋体" w:hAnsi="宋体" w:cs="宋体"/>
                <w:sz w:val="24"/>
                <w:szCs w:val="24"/>
              </w:rPr>
              <w:t>每项内容缺项、内容不合理、不清晰或不具体的扣0.01-4.99分。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176" w:type="dxa"/>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70</w:t>
            </w:r>
          </w:p>
        </w:tc>
        <w:tc>
          <w:tcPr>
            <w:tcW w:w="6940" w:type="dxa"/>
            <w:vAlign w:val="center"/>
          </w:tcPr>
          <w:p>
            <w:pPr>
              <w:widowControl/>
              <w:kinsoku w:val="0"/>
              <w:autoSpaceDE w:val="0"/>
              <w:autoSpaceDN w:val="0"/>
              <w:adjustRightInd w:val="0"/>
              <w:snapToGrid w:val="0"/>
              <w:spacing w:line="324" w:lineRule="auto"/>
              <w:rPr>
                <w:rFonts w:hint="eastAsia" w:ascii="宋体" w:hAnsi="宋体" w:cs="宋体"/>
                <w:sz w:val="24"/>
                <w:szCs w:val="24"/>
              </w:rPr>
            </w:pPr>
          </w:p>
        </w:tc>
      </w:tr>
    </w:tbl>
    <w:p>
      <w:pPr>
        <w:tabs>
          <w:tab w:val="left" w:pos="0"/>
        </w:tabs>
        <w:spacing w:line="360" w:lineRule="auto"/>
        <w:ind w:right="-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磋商小组完成评标后，应当向采购人提交评标报告。</w:t>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w:t>
      </w:r>
    </w:p>
    <w:p>
      <w:pPr>
        <w:pStyle w:val="6"/>
        <w:tabs>
          <w:tab w:val="left" w:pos="720"/>
        </w:tabs>
        <w:jc w:val="center"/>
        <w:rPr>
          <w:rFonts w:hint="eastAsia" w:ascii="宋体" w:hAnsi="宋体" w:eastAsia="宋体" w:cs="宋体"/>
          <w:b/>
          <w:bCs/>
          <w:sz w:val="28"/>
          <w:szCs w:val="28"/>
          <w:highlight w:val="none"/>
        </w:rPr>
      </w:pPr>
      <w:bookmarkStart w:id="46" w:name="_Toc22340"/>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次报价表</w:t>
      </w:r>
    </w:p>
    <w:p>
      <w:pPr>
        <w:pStyle w:val="16"/>
        <w:rPr>
          <w:rFonts w:hint="eastAsia"/>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供应商名称：                         (加盖供应商公章)              </w:t>
      </w:r>
      <w:r>
        <w:rPr>
          <w:rFonts w:hint="eastAsia" w:ascii="宋体" w:hAnsi="宋体" w:eastAsia="宋体" w:cs="宋体"/>
          <w:spacing w:val="-1"/>
          <w:position w:val="2"/>
          <w:sz w:val="21"/>
          <w:szCs w:val="21"/>
          <w:highlight w:val="none"/>
          <w:lang w:val="en-US" w:eastAsia="zh-CN"/>
        </w:rPr>
        <w:t xml:space="preserve"> </w:t>
      </w:r>
      <w:r>
        <w:rPr>
          <w:rFonts w:hint="eastAsia" w:ascii="宋体" w:hAnsi="宋体" w:eastAsia="宋体" w:cs="宋体"/>
          <w:spacing w:val="-1"/>
          <w:position w:val="2"/>
          <w:sz w:val="21"/>
          <w:szCs w:val="21"/>
          <w:highlight w:val="none"/>
        </w:rPr>
        <w:t>单位：元(人民币)</w:t>
      </w:r>
    </w:p>
    <w:tbl>
      <w:tblPr>
        <w:tblStyle w:val="19"/>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602"/>
        <w:gridCol w:w="1623"/>
        <w:gridCol w:w="880"/>
        <w:gridCol w:w="1127"/>
        <w:gridCol w:w="682"/>
        <w:gridCol w:w="1150"/>
        <w:gridCol w:w="123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生产厂家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品牌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default"/>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default" w:eastAsia="宋体"/>
                <w:sz w:val="21"/>
                <w:szCs w:val="21"/>
                <w:lang w:val="en-US" w:eastAsia="zh-CN"/>
              </w:rPr>
            </w:pPr>
            <w:r>
              <w:rPr>
                <w:rFonts w:hint="eastAsia" w:eastAsia="宋体"/>
                <w:sz w:val="21"/>
                <w:szCs w:val="21"/>
                <w:lang w:val="en-US" w:eastAsia="zh-CN"/>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总计（小写）</w:t>
            </w:r>
          </w:p>
        </w:tc>
      </w:tr>
    </w:tbl>
    <w:p>
      <w:pPr>
        <w:spacing w:line="360" w:lineRule="auto"/>
        <w:ind w:firstLine="843" w:firstLineChars="400"/>
        <w:rPr>
          <w:rFonts w:hint="eastAsia" w:ascii="宋体" w:hAnsi="宋体" w:eastAsia="宋体" w:cs="Times New Roman"/>
          <w:b/>
          <w:highlight w:val="none"/>
        </w:rPr>
      </w:pP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rPr>
        <w:t>注：</w:t>
      </w:r>
      <w:r>
        <w:rPr>
          <w:rFonts w:hint="eastAsia" w:ascii="宋体" w:hAnsi="宋体" w:eastAsia="宋体" w:cs="Times New Roman"/>
          <w:b/>
          <w:highlight w:val="none"/>
          <w:lang w:val="en-US" w:eastAsia="zh-CN"/>
        </w:rPr>
        <w:t>1、</w:t>
      </w: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numPr>
          <w:ilvl w:val="0"/>
          <w:numId w:val="0"/>
        </w:numPr>
        <w:spacing w:line="360" w:lineRule="auto"/>
        <w:ind w:firstLine="811" w:firstLineChars="400"/>
        <w:rPr>
          <w:rFonts w:ascii="宋体" w:hAnsi="宋体" w:eastAsia="宋体" w:cs="宋体"/>
          <w:b/>
          <w:bCs/>
          <w:spacing w:val="-9"/>
          <w:sz w:val="22"/>
          <w:szCs w:val="22"/>
          <w:highlight w:val="none"/>
        </w:rPr>
      </w:pPr>
      <w:r>
        <w:rPr>
          <w:rFonts w:hint="eastAsia" w:ascii="宋体" w:hAnsi="宋体" w:eastAsia="宋体" w:cs="宋体"/>
          <w:b/>
          <w:bCs/>
          <w:spacing w:val="-9"/>
          <w:sz w:val="22"/>
          <w:szCs w:val="22"/>
          <w:highlight w:val="none"/>
          <w:lang w:val="en-US" w:eastAsia="zh-CN"/>
        </w:rPr>
        <w:t>2、</w:t>
      </w:r>
      <w:r>
        <w:rPr>
          <w:rFonts w:ascii="宋体" w:hAnsi="宋体" w:eastAsia="宋体" w:cs="宋体"/>
          <w:b/>
          <w:bCs/>
          <w:spacing w:val="-9"/>
          <w:sz w:val="22"/>
          <w:szCs w:val="22"/>
          <w:highlight w:val="none"/>
        </w:rPr>
        <w:t>表格不足可续填，不可缺项。</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3、投标人未提供二次报价表的，以初次报价为最终报价。</w:t>
      </w:r>
    </w:p>
    <w:p>
      <w:pPr>
        <w:spacing w:line="360" w:lineRule="auto"/>
        <w:ind w:firstLine="843" w:firstLineChars="400"/>
        <w:rPr>
          <w:rFonts w:hint="eastAsia" w:ascii="宋体" w:hAnsi="宋体" w:eastAsia="宋体" w:cs="Times New Roman"/>
          <w:b/>
          <w:highlight w:val="none"/>
          <w:lang w:val="en-US" w:eastAsia="zh-CN"/>
        </w:rPr>
      </w:pPr>
    </w:p>
    <w:p>
      <w:pPr>
        <w:rPr>
          <w:rFonts w:hint="eastAsia" w:ascii="宋体" w:hAnsi="宋体" w:eastAsia="宋体" w:cs="宋体"/>
          <w:color w:val="auto"/>
          <w:sz w:val="21"/>
          <w:szCs w:val="21"/>
          <w:highlight w:val="none"/>
        </w:rPr>
      </w:pPr>
      <w:r>
        <w:rPr>
          <w:rFonts w:hint="eastAsia" w:ascii="宋体" w:hAnsi="宋体" w:eastAsia="宋体" w:cs="宋体"/>
          <w:b/>
          <w:bCs/>
          <w:sz w:val="24"/>
          <w:szCs w:val="24"/>
          <w:highlight w:val="none"/>
          <w:lang w:val="en-US" w:eastAsia="zh-CN"/>
        </w:rPr>
        <w:t>说明：</w:t>
      </w:r>
      <w:r>
        <w:rPr>
          <w:rFonts w:hint="eastAsia" w:ascii="宋体" w:hAnsi="宋体" w:eastAsia="宋体" w:cs="宋体"/>
          <w:b/>
          <w:bCs/>
          <w:sz w:val="24"/>
          <w:szCs w:val="24"/>
          <w:highlight w:val="none"/>
        </w:rPr>
        <w:t>本表不装订在</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内，</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可准备好空白表格(3-5份)并盖好</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lang w:val="en-US" w:eastAsia="zh-CN"/>
        </w:rPr>
        <w:t>公章</w:t>
      </w:r>
      <w:r>
        <w:rPr>
          <w:rFonts w:hint="eastAsia" w:ascii="宋体" w:hAnsi="宋体" w:eastAsia="宋体" w:cs="宋体"/>
          <w:b/>
          <w:bCs/>
          <w:sz w:val="24"/>
          <w:szCs w:val="24"/>
          <w:highlight w:val="none"/>
        </w:rPr>
        <w:t>，待二次报价时按规定时间填好数据提交</w:t>
      </w:r>
      <w:r>
        <w:rPr>
          <w:rFonts w:hint="eastAsia" w:ascii="宋体" w:hAnsi="宋体" w:eastAsia="宋体" w:cs="宋体"/>
          <w:b/>
          <w:bCs/>
          <w:sz w:val="24"/>
          <w:szCs w:val="24"/>
          <w:highlight w:val="none"/>
          <w:lang w:val="en-US" w:eastAsia="zh-CN"/>
        </w:rPr>
        <w:t>磋商</w:t>
      </w:r>
      <w:r>
        <w:rPr>
          <w:rFonts w:hint="eastAsia" w:ascii="宋体" w:hAnsi="宋体" w:eastAsia="宋体" w:cs="宋体"/>
          <w:b/>
          <w:bCs/>
          <w:sz w:val="24"/>
          <w:szCs w:val="24"/>
          <w:highlight w:val="none"/>
        </w:rPr>
        <w:t>小组。投标报价包含完成采购项目的所有费用。签订合同时，以本表中的投标报价为准，并作为合同的一部分。</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pPr>
        <w:pStyle w:val="60"/>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highlight w:val="none"/>
        </w:rPr>
      </w:pPr>
      <w:bookmarkStart w:id="47" w:name="bookmark52"/>
      <w:bookmarkStart w:id="48" w:name="bookmark51"/>
      <w:bookmarkStart w:id="49" w:name="bookmark53"/>
      <w:r>
        <w:rPr>
          <w:rFonts w:hint="eastAsia" w:ascii="宋体" w:hAnsi="宋体" w:eastAsia="宋体" w:cs="宋体"/>
          <w:b/>
          <w:bCs/>
          <w:color w:val="000000"/>
          <w:spacing w:val="0"/>
          <w:w w:val="100"/>
          <w:position w:val="0"/>
          <w:sz w:val="24"/>
          <w:szCs w:val="24"/>
          <w:highlight w:val="none"/>
        </w:rPr>
        <w:t>中小企业声明函（工程、服务）</w:t>
      </w:r>
      <w:bookmarkEnd w:id="47"/>
      <w:bookmarkEnd w:id="48"/>
      <w:bookmarkEnd w:id="49"/>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lang w:val="en-US" w:eastAsia="zh-CN"/>
        </w:rPr>
        <w:t>单位</w:t>
      </w:r>
      <w:r>
        <w:rPr>
          <w:rFonts w:hint="eastAsia" w:ascii="宋体" w:hAnsi="宋体" w:eastAsia="宋体" w:cs="宋体"/>
          <w:color w:val="000000"/>
          <w:spacing w:val="0"/>
          <w:w w:val="100"/>
          <w:position w:val="0"/>
          <w:sz w:val="24"/>
          <w:szCs w:val="24"/>
          <w:highlight w:val="none"/>
          <w:u w:val="single"/>
        </w:rPr>
        <w:t>名称）</w:t>
      </w:r>
      <w:r>
        <w:rPr>
          <w:rFonts w:hint="eastAsia" w:ascii="宋体" w:hAnsi="宋体" w:eastAsia="宋体" w:cs="宋体"/>
          <w:color w:val="000000"/>
          <w:spacing w:val="0"/>
          <w:w w:val="100"/>
          <w:position w:val="0"/>
          <w:sz w:val="24"/>
          <w:szCs w:val="24"/>
          <w:highlight w:val="none"/>
        </w:rPr>
        <w:t>的</w:t>
      </w:r>
      <w:r>
        <w:rPr>
          <w:rFonts w:hint="eastAsia" w:ascii="宋体" w:hAnsi="宋体" w:eastAsia="宋体" w:cs="宋体"/>
          <w:color w:val="000000"/>
          <w:spacing w:val="0"/>
          <w:w w:val="100"/>
          <w:position w:val="0"/>
          <w:sz w:val="24"/>
          <w:szCs w:val="24"/>
          <w:highlight w:val="none"/>
          <w:u w:val="single"/>
        </w:rPr>
        <w:t>（项目名称）</w:t>
      </w:r>
      <w:r>
        <w:rPr>
          <w:rFonts w:hint="eastAsia" w:ascii="宋体" w:hAnsi="宋体" w:eastAsia="宋体" w:cs="宋体"/>
          <w:color w:val="000000"/>
          <w:spacing w:val="0"/>
          <w:w w:val="100"/>
          <w:position w:val="0"/>
          <w:sz w:val="24"/>
          <w:szCs w:val="24"/>
          <w:highlight w:val="none"/>
        </w:rPr>
        <w:t>采购活动，工程的施工单位全部为符合政策要 求的中小企业（或者：服务全部由符合政策要求的中小企业承接）。相关企业（含联合体中的中小企业、签订分包意向协议的中小企业）的具体情况如下：</w:t>
      </w:r>
    </w:p>
    <w:p>
      <w:pPr>
        <w:pStyle w:val="61"/>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0" w:name="bookmark54"/>
      <w:bookmarkEnd w:id="50"/>
      <w:r>
        <w:rPr>
          <w:rFonts w:hint="eastAsia" w:ascii="宋体" w:hAnsi="宋体" w:eastAsia="宋体" w:cs="宋体"/>
          <w:color w:val="000000"/>
          <w:spacing w:val="0"/>
          <w:w w:val="100"/>
          <w:position w:val="0"/>
          <w:sz w:val="24"/>
          <w:szCs w:val="24"/>
          <w:highlight w:val="none"/>
          <w:u w:val="none"/>
          <w:lang w:val="en-US" w:eastAsia="zh-CN"/>
        </w:rPr>
        <w:t>1.</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i/>
          <w:iCs/>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万元①，属于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1"/>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1" w:name="bookmark55"/>
      <w:bookmarkEnd w:id="51"/>
      <w:r>
        <w:rPr>
          <w:rFonts w:hint="eastAsia" w:ascii="宋体" w:hAnsi="宋体" w:eastAsia="宋体" w:cs="宋体"/>
          <w:color w:val="000000"/>
          <w:spacing w:val="0"/>
          <w:w w:val="100"/>
          <w:position w:val="0"/>
          <w:sz w:val="24"/>
          <w:szCs w:val="24"/>
          <w:highlight w:val="none"/>
          <w:u w:val="none"/>
          <w:lang w:val="en-US" w:eastAsia="zh-CN"/>
        </w:rPr>
        <w:t>2.</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lang w:val="en-US" w:eastAsia="zh-CN"/>
        </w:rPr>
        <w:t>人</w:t>
      </w:r>
      <w:r>
        <w:rPr>
          <w:rFonts w:hint="eastAsia" w:ascii="宋体" w:hAnsi="宋体" w:eastAsia="宋体" w:cs="宋体"/>
          <w:color w:val="000000"/>
          <w:spacing w:val="0"/>
          <w:w w:val="100"/>
          <w:position w:val="0"/>
          <w:sz w:val="24"/>
          <w:szCs w:val="24"/>
          <w:highlight w:val="none"/>
        </w:rPr>
        <w:t>，营业收入为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w:t>
      </w:r>
      <w:r>
        <w:rPr>
          <w:rFonts w:hint="eastAsia" w:ascii="宋体" w:hAnsi="宋体" w:eastAsia="宋体" w:cs="宋体"/>
          <w:i/>
          <w:iCs/>
          <w:color w:val="000000"/>
          <w:spacing w:val="0"/>
          <w:w w:val="100"/>
          <w:position w:val="0"/>
          <w:sz w:val="24"/>
          <w:szCs w:val="24"/>
          <w:highlight w:val="none"/>
        </w:rPr>
        <w:t>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2"/>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highlight w:val="none"/>
        </w:rPr>
      </w:pPr>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以上企业，不属于大企业的分支机构，不存在控股股东为大企 业的情形，也不存在与大企业的负责人为同一人的情形。</w:t>
      </w:r>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从业人员、营业收入、资产总额填报上一年度数据.无上一年度数据的新成立企业可不填报。</w:t>
      </w:r>
    </w:p>
    <w:p>
      <w:pPr>
        <w:rPr>
          <w:color w:val="auto"/>
          <w:highlight w:val="none"/>
        </w:rPr>
      </w:pPr>
    </w:p>
    <w:p>
      <w:pPr>
        <w:pStyle w:val="36"/>
        <w:rPr>
          <w:color w:val="auto"/>
          <w:highlight w:val="none"/>
        </w:rPr>
      </w:pPr>
    </w:p>
    <w:p>
      <w:pPr>
        <w:rPr>
          <w:color w:val="auto"/>
          <w:highlight w:val="none"/>
        </w:rPr>
      </w:pPr>
    </w:p>
    <w:p>
      <w:pPr>
        <w:pStyle w:val="36"/>
        <w:rPr>
          <w:color w:val="auto"/>
          <w:highlight w:val="none"/>
        </w:rPr>
      </w:pPr>
    </w:p>
    <w:p>
      <w:pPr>
        <w:pStyle w:val="36"/>
        <w:ind w:left="0" w:leftChars="0" w:firstLine="0" w:firstLineChars="0"/>
        <w:rPr>
          <w:rFonts w:hint="default" w:eastAsia="宋体"/>
          <w:color w:val="auto"/>
          <w:highlight w:val="none"/>
          <w:lang w:val="en-US" w:eastAsia="zh-CN"/>
        </w:rPr>
      </w:pPr>
    </w:p>
    <w:p>
      <w:pPr>
        <w:rPr>
          <w:rFonts w:hint="default"/>
          <w:b/>
          <w:bCs/>
          <w:color w:val="auto"/>
          <w:sz w:val="24"/>
          <w:szCs w:val="22"/>
          <w:highlight w:val="none"/>
          <w:lang w:val="en-US" w:eastAsia="zh-CN"/>
        </w:rPr>
      </w:pPr>
      <w:r>
        <w:rPr>
          <w:rFonts w:hint="eastAsia" w:eastAsia="宋体"/>
          <w:b/>
          <w:bCs/>
          <w:color w:val="auto"/>
          <w:sz w:val="24"/>
          <w:szCs w:val="22"/>
          <w:highlight w:val="none"/>
          <w:lang w:val="en-US" w:eastAsia="zh-CN"/>
        </w:rPr>
        <w:br w:type="page"/>
      </w:r>
      <w:r>
        <w:rPr>
          <w:rFonts w:hint="eastAsia" w:eastAsia="宋体"/>
          <w:b/>
          <w:bCs/>
          <w:color w:val="auto"/>
          <w:sz w:val="24"/>
          <w:szCs w:val="22"/>
          <w:highlight w:val="none"/>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highlight w:val="none"/>
        </w:rPr>
      </w:pPr>
      <w:r>
        <w:rPr>
          <w:rFonts w:hint="eastAsia" w:ascii="宋体" w:hAnsi="宋体" w:cs="宋体"/>
          <w:b/>
          <w:bCs/>
          <w:color w:val="auto"/>
          <w:spacing w:val="8"/>
          <w:sz w:val="24"/>
          <w:szCs w:val="24"/>
          <w:highlight w:val="none"/>
        </w:rPr>
        <w:t>残疾人福利性单位声明函</w:t>
      </w:r>
    </w:p>
    <w:p>
      <w:pPr>
        <w:pStyle w:val="36"/>
        <w:rPr>
          <w:color w:val="auto"/>
          <w:highlight w:val="none"/>
        </w:rPr>
      </w:pPr>
    </w:p>
    <w:p>
      <w:pPr>
        <w:adjustRightInd w:val="0"/>
        <w:snapToGrid w:val="0"/>
        <w:spacing w:line="360" w:lineRule="auto"/>
        <w:ind w:right="28" w:firstLine="527"/>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单位的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36"/>
        <w:rPr>
          <w:color w:val="auto"/>
          <w:highlight w:val="none"/>
        </w:rPr>
      </w:pPr>
    </w:p>
    <w:p>
      <w:pPr>
        <w:adjustRightInd w:val="0"/>
        <w:snapToGrid w:val="0"/>
        <w:spacing w:line="360" w:lineRule="auto"/>
        <w:ind w:right="28" w:firstLine="527"/>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highlight w:val="none"/>
        </w:rPr>
      </w:pPr>
    </w:p>
    <w:p>
      <w:pPr>
        <w:pStyle w:val="36"/>
        <w:rPr>
          <w:rFonts w:ascii="宋体" w:hAnsi="宋体" w:cs="宋体"/>
          <w:color w:val="auto"/>
          <w:spacing w:val="8"/>
          <w:sz w:val="24"/>
          <w:szCs w:val="24"/>
          <w:highlight w:val="none"/>
        </w:rPr>
      </w:pPr>
    </w:p>
    <w:p>
      <w:pPr>
        <w:rPr>
          <w:color w:val="auto"/>
          <w:highlight w:val="none"/>
        </w:rPr>
      </w:pPr>
    </w:p>
    <w:p>
      <w:pPr>
        <w:adjustRightInd w:val="0"/>
        <w:snapToGrid w:val="0"/>
        <w:spacing w:line="360" w:lineRule="auto"/>
        <w:ind w:right="28" w:firstLine="527"/>
        <w:jc w:val="cente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pStyle w:val="36"/>
        <w:rPr>
          <w:rFonts w:hint="eastAsia" w:ascii="宋体" w:hAnsi="宋体" w:cs="宋体"/>
          <w:color w:val="auto"/>
          <w:spacing w:val="8"/>
          <w:sz w:val="24"/>
          <w:szCs w:val="24"/>
          <w:highlight w:val="none"/>
        </w:rPr>
      </w:pPr>
    </w:p>
    <w:p>
      <w:pPr>
        <w:rPr>
          <w:color w:val="auto"/>
          <w:highlight w:val="none"/>
        </w:rPr>
      </w:pPr>
    </w:p>
    <w:p>
      <w:pPr>
        <w:pStyle w:val="36"/>
        <w:spacing w:line="360" w:lineRule="auto"/>
        <w:ind w:left="0" w:leftChars="0" w:firstLine="4352" w:firstLineChars="1700"/>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日期：   年  月  日</w:t>
      </w: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p>
    <w:p>
      <w:pPr>
        <w:pStyle w:val="36"/>
        <w:rPr>
          <w:rFonts w:hint="eastAsia"/>
          <w:color w:val="auto"/>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pStyle w:val="36"/>
        <w:ind w:left="0" w:leftChars="0" w:firstLine="0" w:firstLineChars="0"/>
        <w:rPr>
          <w:rFonts w:hint="default" w:ascii="宋体" w:hAnsi="宋体" w:eastAsia="宋体" w:cs="宋体"/>
          <w:b/>
          <w:bCs/>
          <w:color w:val="auto"/>
          <w:spacing w:val="8"/>
          <w:sz w:val="24"/>
          <w:szCs w:val="24"/>
          <w:highlight w:val="none"/>
          <w:lang w:val="en-US" w:eastAsia="zh-CN"/>
        </w:rPr>
      </w:pPr>
      <w:r>
        <w:rPr>
          <w:rFonts w:hint="eastAsia" w:eastAsia="宋体" w:cs="宋体"/>
          <w:b/>
          <w:bCs/>
          <w:color w:val="auto"/>
          <w:spacing w:val="8"/>
          <w:sz w:val="24"/>
          <w:szCs w:val="24"/>
          <w:highlight w:val="none"/>
          <w:lang w:eastAsia="zh-CN"/>
        </w:rPr>
        <w:t>附件</w:t>
      </w:r>
      <w:r>
        <w:rPr>
          <w:rFonts w:hint="eastAsia" w:eastAsia="宋体" w:cs="宋体"/>
          <w:b/>
          <w:bCs/>
          <w:color w:val="auto"/>
          <w:spacing w:val="8"/>
          <w:sz w:val="24"/>
          <w:szCs w:val="24"/>
          <w:highlight w:val="none"/>
          <w:lang w:val="en-US" w:eastAsia="zh-CN"/>
        </w:rPr>
        <w:t>4：</w:t>
      </w:r>
    </w:p>
    <w:p>
      <w:pPr>
        <w:jc w:val="center"/>
        <w:rPr>
          <w:rFonts w:hint="eastAsia" w:ascii="宋体" w:hAnsi="宋体" w:cs="宋体"/>
          <w:color w:val="auto"/>
          <w:spacing w:val="8"/>
          <w:sz w:val="24"/>
          <w:szCs w:val="24"/>
          <w:highlight w:val="none"/>
        </w:rPr>
      </w:pPr>
      <w:r>
        <w:rPr>
          <w:rFonts w:hint="eastAsia" w:ascii="宋体" w:hAnsi="宋体" w:cs="宋体"/>
          <w:b/>
          <w:bCs/>
          <w:color w:val="auto"/>
          <w:spacing w:val="8"/>
          <w:sz w:val="24"/>
          <w:szCs w:val="24"/>
          <w:highlight w:val="none"/>
        </w:rPr>
        <w:t>监狱企业证明文件</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6"/>
        <w:ind w:left="0" w:leftChars="0" w:firstLine="0" w:firstLineChars="0"/>
        <w:rPr>
          <w:rFonts w:hint="eastAsia" w:ascii="宋体" w:hAnsi="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法定代表人或委托代理人： （签字或盖章）</w:t>
      </w:r>
    </w:p>
    <w:p>
      <w:pPr>
        <w:pStyle w:val="36"/>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年 月 日</w:t>
      </w: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color w:val="auto"/>
          <w:highlight w:val="none"/>
        </w:rPr>
      </w:pPr>
    </w:p>
    <w:p>
      <w:pPr>
        <w:rPr>
          <w:rFonts w:ascii="宋体" w:hAnsi="宋体" w:eastAsia="宋体" w:cs="宋体"/>
          <w:color w:val="auto"/>
          <w:sz w:val="24"/>
          <w:szCs w:val="24"/>
          <w:highlight w:val="none"/>
        </w:rPr>
      </w:pPr>
      <w:r>
        <w:rPr>
          <w:rFonts w:hint="eastAsia" w:ascii="宋体" w:hAnsi="宋体" w:cs="宋体"/>
          <w:color w:val="auto"/>
          <w:spacing w:val="8"/>
          <w:sz w:val="24"/>
          <w:szCs w:val="24"/>
          <w:highlight w:val="none"/>
        </w:rPr>
        <w:t>说明：若是监狱企业则需提供上述省级以上监狱管理局、戒毒管理局（含新疆生产建设兵团）出具的属于监狱企业的证明文件，若不是则不需要提供。</w:t>
      </w:r>
    </w:p>
    <w:p>
      <w:pPr>
        <w:pStyle w:val="36"/>
        <w:ind w:left="0" w:leftChars="0" w:firstLine="0" w:firstLineChars="0"/>
        <w:jc w:val="center"/>
        <w:rPr>
          <w:rFonts w:eastAsia="宋体" w:cs="宋体"/>
          <w:b/>
          <w:color w:val="auto"/>
          <w:sz w:val="24"/>
          <w:szCs w:val="24"/>
          <w:highlight w:val="none"/>
        </w:rPr>
      </w:pPr>
      <w:r>
        <w:rPr>
          <w:rFonts w:ascii="宋体" w:hAnsi="宋体" w:eastAsia="宋体" w:cs="宋体"/>
          <w:color w:val="auto"/>
          <w:sz w:val="24"/>
          <w:szCs w:val="24"/>
          <w:highlight w:val="none"/>
        </w:rPr>
        <w:br w:type="page"/>
      </w:r>
      <w:r>
        <w:rPr>
          <w:rFonts w:hint="eastAsia" w:ascii="宋体" w:hAnsi="宋体" w:eastAsia="宋体" w:cs="宋体"/>
          <w:b/>
          <w:bCs w:val="0"/>
          <w:color w:val="auto"/>
          <w:sz w:val="32"/>
          <w:szCs w:val="32"/>
          <w:highlight w:val="none"/>
          <w:lang w:val="en-US" w:eastAsia="zh-CN"/>
        </w:rPr>
        <w:t>第六章  补遗书及答疑纪要（待发）</w:t>
      </w:r>
      <w:bookmarkEnd w:id="46"/>
    </w:p>
    <w:p>
      <w:pPr>
        <w:spacing w:line="440" w:lineRule="exact"/>
        <w:rPr>
          <w:rFonts w:ascii="宋体" w:hAnsi="宋体" w:eastAsia="宋体" w:cs="宋体"/>
          <w:b/>
          <w:bCs/>
          <w:color w:val="auto"/>
          <w:sz w:val="24"/>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rPr>
          <w:rFonts w:eastAsia="宋体" w:cs="宋体"/>
          <w:b/>
          <w:color w:val="auto"/>
          <w:sz w:val="24"/>
          <w:szCs w:val="24"/>
          <w:highlight w:val="none"/>
        </w:rPr>
      </w:pPr>
    </w:p>
    <w:sectPr>
      <w:footerReference r:id="rId6" w:type="default"/>
      <w:pgSz w:w="11906" w:h="16838"/>
      <w:pgMar w:top="1040" w:right="1286" w:bottom="109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right="360"/>
      <w:jc w:val="both"/>
      <w:rPr>
        <w:rFonts w:hint="eastAsia"/>
        <w:iCs/>
        <w:highlight w:val="yellow"/>
        <w:lang w:val="en-US" w:eastAsia="zh-CN"/>
      </w:rPr>
    </w:pPr>
    <w:r>
      <w:rPr>
        <w:rFonts w:hint="eastAsia"/>
        <w:iCs/>
      </w:rPr>
      <w:t xml:space="preserve"> </w:t>
    </w:r>
  </w:p>
  <w:p>
    <w:pPr>
      <w:pStyle w:val="15"/>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8465"/>
    <w:multiLevelType w:val="singleLevel"/>
    <w:tmpl w:val="8CE78465"/>
    <w:lvl w:ilvl="0" w:tentative="0">
      <w:start w:val="1"/>
      <w:numFmt w:val="decimal"/>
      <w:suff w:val="nothing"/>
      <w:lvlText w:val="%1、"/>
      <w:lvlJc w:val="left"/>
    </w:lvl>
  </w:abstractNum>
  <w:abstractNum w:abstractNumId="1">
    <w:nsid w:val="99438110"/>
    <w:multiLevelType w:val="singleLevel"/>
    <w:tmpl w:val="99438110"/>
    <w:lvl w:ilvl="0" w:tentative="0">
      <w:start w:val="3"/>
      <w:numFmt w:val="chineseCounting"/>
      <w:suff w:val="nothing"/>
      <w:lvlText w:val="%1、"/>
      <w:lvlJc w:val="left"/>
      <w:rPr>
        <w:rFonts w:hint="eastAsia"/>
      </w:rPr>
    </w:lvl>
  </w:abstractNum>
  <w:abstractNum w:abstractNumId="2">
    <w:nsid w:val="B3954C7B"/>
    <w:multiLevelType w:val="singleLevel"/>
    <w:tmpl w:val="B3954C7B"/>
    <w:lvl w:ilvl="0" w:tentative="0">
      <w:start w:val="1"/>
      <w:numFmt w:val="decimal"/>
      <w:suff w:val="nothing"/>
      <w:lvlText w:val="%1、"/>
      <w:lvlJc w:val="left"/>
    </w:lvl>
  </w:abstractNum>
  <w:abstractNum w:abstractNumId="3">
    <w:nsid w:val="B5DEFC82"/>
    <w:multiLevelType w:val="singleLevel"/>
    <w:tmpl w:val="B5DEFC82"/>
    <w:lvl w:ilvl="0" w:tentative="0">
      <w:start w:val="1"/>
      <w:numFmt w:val="decimal"/>
      <w:suff w:val="nothing"/>
      <w:lvlText w:val="%1、"/>
      <w:lvlJc w:val="left"/>
    </w:lvl>
  </w:abstractNum>
  <w:abstractNum w:abstractNumId="4">
    <w:nsid w:val="F4A430DC"/>
    <w:multiLevelType w:val="singleLevel"/>
    <w:tmpl w:val="F4A430DC"/>
    <w:lvl w:ilvl="0" w:tentative="0">
      <w:start w:val="6"/>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7">
    <w:nsid w:val="0156B227"/>
    <w:multiLevelType w:val="singleLevel"/>
    <w:tmpl w:val="0156B227"/>
    <w:lvl w:ilvl="0" w:tentative="0">
      <w:start w:val="1"/>
      <w:numFmt w:val="decimal"/>
      <w:suff w:val="nothing"/>
      <w:lvlText w:val="%1、"/>
      <w:lvlJc w:val="left"/>
    </w:lvl>
  </w:abstractNum>
  <w:abstractNum w:abstractNumId="8">
    <w:nsid w:val="2C078406"/>
    <w:multiLevelType w:val="singleLevel"/>
    <w:tmpl w:val="2C078406"/>
    <w:lvl w:ilvl="0" w:tentative="0">
      <w:start w:val="1"/>
      <w:numFmt w:val="decimal"/>
      <w:suff w:val="nothing"/>
      <w:lvlText w:val="%1、"/>
      <w:lvlJc w:val="left"/>
    </w:lvl>
  </w:abstractNum>
  <w:abstractNum w:abstractNumId="9">
    <w:nsid w:val="7B16DB62"/>
    <w:multiLevelType w:val="singleLevel"/>
    <w:tmpl w:val="7B16DB62"/>
    <w:lvl w:ilvl="0" w:tentative="0">
      <w:start w:val="1"/>
      <w:numFmt w:val="decimal"/>
      <w:suff w:val="nothing"/>
      <w:lvlText w:val="%1、"/>
      <w:lvlJc w:val="left"/>
    </w:lvl>
  </w:abstractNum>
  <w:num w:numId="1">
    <w:abstractNumId w:val="5"/>
  </w:num>
  <w:num w:numId="2">
    <w:abstractNumId w:val="6"/>
  </w:num>
  <w:num w:numId="3">
    <w:abstractNumId w:val="7"/>
  </w:num>
  <w:num w:numId="4">
    <w:abstractNumId w:val="8"/>
  </w:num>
  <w:num w:numId="5">
    <w:abstractNumId w:val="0"/>
  </w:num>
  <w:num w:numId="6">
    <w:abstractNumId w:val="2"/>
  </w:num>
  <w:num w:numId="7">
    <w:abstractNumId w:val="3"/>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jBhYWJmYTA5YzlhYTEwMmM2NTNjNGQyZDMwODEifQ=="/>
  </w:docVars>
  <w:rsids>
    <w:rsidRoot w:val="00000000"/>
    <w:rsid w:val="00326792"/>
    <w:rsid w:val="017A4A37"/>
    <w:rsid w:val="01CD344B"/>
    <w:rsid w:val="01E948A9"/>
    <w:rsid w:val="023D1C29"/>
    <w:rsid w:val="026C4FD1"/>
    <w:rsid w:val="027C3466"/>
    <w:rsid w:val="03F13330"/>
    <w:rsid w:val="03F25123"/>
    <w:rsid w:val="04446DB8"/>
    <w:rsid w:val="06941428"/>
    <w:rsid w:val="06B93462"/>
    <w:rsid w:val="07651EC6"/>
    <w:rsid w:val="077C2461"/>
    <w:rsid w:val="07BB6072"/>
    <w:rsid w:val="07DC193F"/>
    <w:rsid w:val="07F95559"/>
    <w:rsid w:val="087D1CE6"/>
    <w:rsid w:val="09115215"/>
    <w:rsid w:val="0A3D472E"/>
    <w:rsid w:val="0AD27DEA"/>
    <w:rsid w:val="0B1D276A"/>
    <w:rsid w:val="0B2A3732"/>
    <w:rsid w:val="0B615218"/>
    <w:rsid w:val="0BC042E1"/>
    <w:rsid w:val="0CEE6B82"/>
    <w:rsid w:val="0CFF221F"/>
    <w:rsid w:val="0DAB65E2"/>
    <w:rsid w:val="0E2F3A82"/>
    <w:rsid w:val="0E4866AA"/>
    <w:rsid w:val="0F006472"/>
    <w:rsid w:val="0F651605"/>
    <w:rsid w:val="0FBA5F39"/>
    <w:rsid w:val="120B6465"/>
    <w:rsid w:val="121E0096"/>
    <w:rsid w:val="125A4E46"/>
    <w:rsid w:val="13932C2D"/>
    <w:rsid w:val="1429657E"/>
    <w:rsid w:val="14517FE7"/>
    <w:rsid w:val="14682881"/>
    <w:rsid w:val="148A43CC"/>
    <w:rsid w:val="14F0527E"/>
    <w:rsid w:val="15376EC6"/>
    <w:rsid w:val="16A8571B"/>
    <w:rsid w:val="16B4431C"/>
    <w:rsid w:val="16D74CB7"/>
    <w:rsid w:val="16E70179"/>
    <w:rsid w:val="17413264"/>
    <w:rsid w:val="17AA301A"/>
    <w:rsid w:val="17AE1A29"/>
    <w:rsid w:val="180C5D06"/>
    <w:rsid w:val="182F367F"/>
    <w:rsid w:val="18356139"/>
    <w:rsid w:val="18775ED5"/>
    <w:rsid w:val="18D23988"/>
    <w:rsid w:val="18E94CC2"/>
    <w:rsid w:val="198540F4"/>
    <w:rsid w:val="1A4F2853"/>
    <w:rsid w:val="1AEC3AEE"/>
    <w:rsid w:val="1C6C7C03"/>
    <w:rsid w:val="1C6D08DF"/>
    <w:rsid w:val="1CA53D47"/>
    <w:rsid w:val="1CB735C0"/>
    <w:rsid w:val="1CE03F71"/>
    <w:rsid w:val="1D0B258B"/>
    <w:rsid w:val="1DDB48C8"/>
    <w:rsid w:val="1DE65560"/>
    <w:rsid w:val="1E042876"/>
    <w:rsid w:val="1E135E59"/>
    <w:rsid w:val="1EDF0AB3"/>
    <w:rsid w:val="1F54506E"/>
    <w:rsid w:val="1FE83BF2"/>
    <w:rsid w:val="202D5AE9"/>
    <w:rsid w:val="20601AC0"/>
    <w:rsid w:val="212B2914"/>
    <w:rsid w:val="217A696B"/>
    <w:rsid w:val="225D0766"/>
    <w:rsid w:val="22627BFA"/>
    <w:rsid w:val="22AE7314"/>
    <w:rsid w:val="23196297"/>
    <w:rsid w:val="23294AEC"/>
    <w:rsid w:val="233136AA"/>
    <w:rsid w:val="235C6C70"/>
    <w:rsid w:val="236C2300"/>
    <w:rsid w:val="240B75A8"/>
    <w:rsid w:val="248111AD"/>
    <w:rsid w:val="24DA2ACA"/>
    <w:rsid w:val="257F2CAE"/>
    <w:rsid w:val="260D5FFF"/>
    <w:rsid w:val="266074E8"/>
    <w:rsid w:val="266D03DE"/>
    <w:rsid w:val="26F619FF"/>
    <w:rsid w:val="27452723"/>
    <w:rsid w:val="27CB6C84"/>
    <w:rsid w:val="28551EE0"/>
    <w:rsid w:val="291962A4"/>
    <w:rsid w:val="29CC2775"/>
    <w:rsid w:val="2A1F27A5"/>
    <w:rsid w:val="2AE33D87"/>
    <w:rsid w:val="2B1B2F6C"/>
    <w:rsid w:val="2B2F6A18"/>
    <w:rsid w:val="2C0F6B5F"/>
    <w:rsid w:val="2C355CA9"/>
    <w:rsid w:val="2C3A4F2A"/>
    <w:rsid w:val="2C6721E1"/>
    <w:rsid w:val="2C8E5F99"/>
    <w:rsid w:val="2C947B55"/>
    <w:rsid w:val="2CF747D6"/>
    <w:rsid w:val="2E367E6E"/>
    <w:rsid w:val="2E56052E"/>
    <w:rsid w:val="2E6B483B"/>
    <w:rsid w:val="2F7F46F6"/>
    <w:rsid w:val="30983C2F"/>
    <w:rsid w:val="317516CC"/>
    <w:rsid w:val="317E0299"/>
    <w:rsid w:val="31805B7F"/>
    <w:rsid w:val="31A12A84"/>
    <w:rsid w:val="32870003"/>
    <w:rsid w:val="33720DF8"/>
    <w:rsid w:val="33967BBB"/>
    <w:rsid w:val="3400017C"/>
    <w:rsid w:val="359159D2"/>
    <w:rsid w:val="35967197"/>
    <w:rsid w:val="35F920FC"/>
    <w:rsid w:val="36AB4024"/>
    <w:rsid w:val="36F34D9D"/>
    <w:rsid w:val="375C659B"/>
    <w:rsid w:val="37985457"/>
    <w:rsid w:val="37C44253"/>
    <w:rsid w:val="380A05F1"/>
    <w:rsid w:val="381A3936"/>
    <w:rsid w:val="387D5D44"/>
    <w:rsid w:val="38BC5693"/>
    <w:rsid w:val="3AC953C2"/>
    <w:rsid w:val="3B70073D"/>
    <w:rsid w:val="3B7346FF"/>
    <w:rsid w:val="3B7C35D0"/>
    <w:rsid w:val="3BD14B48"/>
    <w:rsid w:val="3C2857F8"/>
    <w:rsid w:val="3CAB7728"/>
    <w:rsid w:val="3CB90837"/>
    <w:rsid w:val="3CB96420"/>
    <w:rsid w:val="3D256A71"/>
    <w:rsid w:val="3F0B4D2F"/>
    <w:rsid w:val="3F446ED3"/>
    <w:rsid w:val="3FBA180C"/>
    <w:rsid w:val="3FBE0E56"/>
    <w:rsid w:val="40270827"/>
    <w:rsid w:val="40CC3328"/>
    <w:rsid w:val="414C7824"/>
    <w:rsid w:val="415F7A57"/>
    <w:rsid w:val="425F3226"/>
    <w:rsid w:val="426C1EA8"/>
    <w:rsid w:val="43D2785E"/>
    <w:rsid w:val="43D32DEF"/>
    <w:rsid w:val="43E3315F"/>
    <w:rsid w:val="44051FDC"/>
    <w:rsid w:val="44685B2D"/>
    <w:rsid w:val="44DB279F"/>
    <w:rsid w:val="452D3B70"/>
    <w:rsid w:val="45CA7B86"/>
    <w:rsid w:val="460074D7"/>
    <w:rsid w:val="467C30F8"/>
    <w:rsid w:val="46A94799"/>
    <w:rsid w:val="47E03F69"/>
    <w:rsid w:val="484E277B"/>
    <w:rsid w:val="48512863"/>
    <w:rsid w:val="486C49B0"/>
    <w:rsid w:val="48B378A8"/>
    <w:rsid w:val="48C30301"/>
    <w:rsid w:val="495B132C"/>
    <w:rsid w:val="4A1F1AC6"/>
    <w:rsid w:val="4B667DDC"/>
    <w:rsid w:val="4BBE1283"/>
    <w:rsid w:val="4C1A52C1"/>
    <w:rsid w:val="4C20752B"/>
    <w:rsid w:val="4D574DC8"/>
    <w:rsid w:val="4DA120EF"/>
    <w:rsid w:val="4DBD3714"/>
    <w:rsid w:val="4EE61CDA"/>
    <w:rsid w:val="4F763B90"/>
    <w:rsid w:val="4FEC63D6"/>
    <w:rsid w:val="50947199"/>
    <w:rsid w:val="5123075E"/>
    <w:rsid w:val="518B557A"/>
    <w:rsid w:val="51B11685"/>
    <w:rsid w:val="52F257DF"/>
    <w:rsid w:val="53536E98"/>
    <w:rsid w:val="54754356"/>
    <w:rsid w:val="54D51B2F"/>
    <w:rsid w:val="54D849E7"/>
    <w:rsid w:val="55315B2F"/>
    <w:rsid w:val="55DA38A0"/>
    <w:rsid w:val="55DF2A92"/>
    <w:rsid w:val="56515DC5"/>
    <w:rsid w:val="57B10631"/>
    <w:rsid w:val="57B74DEC"/>
    <w:rsid w:val="59BD569A"/>
    <w:rsid w:val="5AB82AFE"/>
    <w:rsid w:val="5AD85ED5"/>
    <w:rsid w:val="5B4D241F"/>
    <w:rsid w:val="5B915253"/>
    <w:rsid w:val="5C985434"/>
    <w:rsid w:val="5D411B20"/>
    <w:rsid w:val="5E0C5870"/>
    <w:rsid w:val="5E26547A"/>
    <w:rsid w:val="5E4E2CEE"/>
    <w:rsid w:val="5F56677A"/>
    <w:rsid w:val="5F5952B1"/>
    <w:rsid w:val="604E62D6"/>
    <w:rsid w:val="605D1356"/>
    <w:rsid w:val="60B718BC"/>
    <w:rsid w:val="60C5514D"/>
    <w:rsid w:val="611B4D6D"/>
    <w:rsid w:val="6170330B"/>
    <w:rsid w:val="623A2748"/>
    <w:rsid w:val="62832BCA"/>
    <w:rsid w:val="63CA503C"/>
    <w:rsid w:val="648A46E4"/>
    <w:rsid w:val="649966D5"/>
    <w:rsid w:val="649E3CEB"/>
    <w:rsid w:val="64DE77A6"/>
    <w:rsid w:val="64F61D79"/>
    <w:rsid w:val="6524176C"/>
    <w:rsid w:val="657D6037"/>
    <w:rsid w:val="66203B76"/>
    <w:rsid w:val="66DE7364"/>
    <w:rsid w:val="67161120"/>
    <w:rsid w:val="6744501E"/>
    <w:rsid w:val="68D83351"/>
    <w:rsid w:val="69AE2CD1"/>
    <w:rsid w:val="6A6634FD"/>
    <w:rsid w:val="6B2872ED"/>
    <w:rsid w:val="6BA66BCA"/>
    <w:rsid w:val="6D750E4E"/>
    <w:rsid w:val="6DD62748"/>
    <w:rsid w:val="6DE24C48"/>
    <w:rsid w:val="6DF56417"/>
    <w:rsid w:val="6EB505AF"/>
    <w:rsid w:val="6EC95E08"/>
    <w:rsid w:val="6FA37EFD"/>
    <w:rsid w:val="70503DFA"/>
    <w:rsid w:val="705861FF"/>
    <w:rsid w:val="71D80C38"/>
    <w:rsid w:val="72821A18"/>
    <w:rsid w:val="728C50F0"/>
    <w:rsid w:val="72EC6569"/>
    <w:rsid w:val="738B5D82"/>
    <w:rsid w:val="73FE5C0F"/>
    <w:rsid w:val="740D49E9"/>
    <w:rsid w:val="753B0164"/>
    <w:rsid w:val="76A71125"/>
    <w:rsid w:val="77253DF8"/>
    <w:rsid w:val="78DA631E"/>
    <w:rsid w:val="79457859"/>
    <w:rsid w:val="79B107FB"/>
    <w:rsid w:val="79CA2CA8"/>
    <w:rsid w:val="7A0D74F1"/>
    <w:rsid w:val="7A265616"/>
    <w:rsid w:val="7A4A1626"/>
    <w:rsid w:val="7A7217A2"/>
    <w:rsid w:val="7ABE4F98"/>
    <w:rsid w:val="7AC85324"/>
    <w:rsid w:val="7B4C1BE3"/>
    <w:rsid w:val="7B4C229B"/>
    <w:rsid w:val="7B6469FE"/>
    <w:rsid w:val="7BC27B8E"/>
    <w:rsid w:val="7F315A30"/>
    <w:rsid w:val="7F3D5377"/>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4">
    <w:name w:val="heading 1"/>
    <w:basedOn w:val="1"/>
    <w:next w:val="1"/>
    <w:qFormat/>
    <w:uiPriority w:val="0"/>
    <w:pPr>
      <w:keepNext/>
      <w:keepLines/>
      <w:jc w:val="center"/>
      <w:outlineLvl w:val="0"/>
    </w:pPr>
    <w:rPr>
      <w:rFonts w:eastAsia="宋体"/>
      <w:b/>
      <w:kern w:val="44"/>
      <w:sz w:val="30"/>
    </w:rPr>
  </w:style>
  <w:style w:type="paragraph" w:styleId="5">
    <w:name w:val="heading 2"/>
    <w:basedOn w:val="1"/>
    <w:next w:val="1"/>
    <w:qFormat/>
    <w:uiPriority w:val="0"/>
    <w:pPr>
      <w:keepNext/>
      <w:keepLines/>
      <w:jc w:val="center"/>
      <w:outlineLvl w:val="1"/>
    </w:pPr>
    <w:rPr>
      <w:rFonts w:ascii="Arial" w:hAnsi="Arial" w:eastAsia="黑体"/>
      <w:sz w:val="32"/>
      <w:szCs w:val="20"/>
    </w:rPr>
  </w:style>
  <w:style w:type="paragraph" w:styleId="6">
    <w:name w:val="heading 3"/>
    <w:basedOn w:val="1"/>
    <w:next w:val="1"/>
    <w:qFormat/>
    <w:uiPriority w:val="0"/>
    <w:pPr>
      <w:keepNext/>
      <w:keepLines/>
      <w:jc w:val="center"/>
      <w:outlineLvl w:val="2"/>
    </w:pPr>
    <w:rPr>
      <w:rFonts w:eastAsia="黑体"/>
      <w:sz w:val="30"/>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pacing w:val="3"/>
      <w:kern w:val="0"/>
      <w:sz w:val="24"/>
    </w:rPr>
  </w:style>
  <w:style w:type="paragraph" w:styleId="3">
    <w:name w:val="toc 2"/>
    <w:basedOn w:val="1"/>
    <w:next w:val="1"/>
    <w:qFormat/>
    <w:uiPriority w:val="39"/>
    <w:pPr>
      <w:ind w:left="420" w:leftChars="200"/>
    </w:pPr>
  </w:style>
  <w:style w:type="paragraph" w:styleId="9">
    <w:name w:val="Normal Indent"/>
    <w:basedOn w:val="1"/>
    <w:next w:val="10"/>
    <w:qFormat/>
    <w:uiPriority w:val="0"/>
    <w:pPr>
      <w:ind w:firstLine="420" w:firstLineChars="200"/>
    </w:pPr>
    <w:rPr>
      <w:szCs w:val="24"/>
    </w:rPr>
  </w:style>
  <w:style w:type="paragraph" w:customStyle="1" w:styleId="10">
    <w:name w:val="样式3"/>
    <w:basedOn w:val="11"/>
    <w:next w:val="1"/>
    <w:qFormat/>
    <w:uiPriority w:val="99"/>
    <w:pPr>
      <w:tabs>
        <w:tab w:val="left" w:pos="720"/>
      </w:tabs>
    </w:pPr>
    <w:rPr>
      <w:rFonts w:ascii="楷体_GB2312" w:hAnsi="新宋体" w:eastAsia="楷体_GB2312"/>
      <w:szCs w:val="20"/>
    </w:rPr>
  </w:style>
  <w:style w:type="paragraph" w:styleId="11">
    <w:name w:val="List Paragraph"/>
    <w:basedOn w:val="1"/>
    <w:next w:val="1"/>
    <w:qFormat/>
    <w:uiPriority w:val="34"/>
    <w:pPr>
      <w:widowControl/>
      <w:ind w:firstLine="420" w:firstLineChars="200"/>
      <w:jc w:val="left"/>
    </w:pPr>
    <w:rPr>
      <w:kern w:val="0"/>
      <w:sz w:val="20"/>
    </w:rPr>
  </w:style>
  <w:style w:type="paragraph" w:styleId="12">
    <w:name w:val="annotation text"/>
    <w:basedOn w:val="1"/>
    <w:qFormat/>
    <w:uiPriority w:val="0"/>
    <w:pPr>
      <w:jc w:val="left"/>
    </w:pPr>
  </w:style>
  <w:style w:type="paragraph" w:styleId="13">
    <w:name w:val="Body Text Indent"/>
    <w:basedOn w:val="1"/>
    <w:qFormat/>
    <w:uiPriority w:val="0"/>
    <w:pPr>
      <w:tabs>
        <w:tab w:val="left" w:pos="1155"/>
      </w:tabs>
      <w:ind w:firstLine="475" w:firstLineChars="198"/>
    </w:pPr>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qFormat/>
    <w:uiPriority w:val="0"/>
    <w:pPr>
      <w:snapToGrid w:val="0"/>
      <w:jc w:val="left"/>
    </w:pPr>
    <w:rPr>
      <w:sz w:val="18"/>
    </w:rPr>
  </w:style>
  <w:style w:type="paragraph" w:styleId="17">
    <w:name w:val="Body Text First Indent"/>
    <w:basedOn w:val="2"/>
    <w:next w:val="18"/>
    <w:qFormat/>
    <w:uiPriority w:val="0"/>
    <w:pPr>
      <w:ind w:firstLine="420" w:firstLineChars="100"/>
    </w:pPr>
  </w:style>
  <w:style w:type="paragraph" w:styleId="18">
    <w:name w:val="Body Text First Indent 2"/>
    <w:basedOn w:val="13"/>
    <w:next w:val="1"/>
    <w:qFormat/>
    <w:uiPriority w:val="0"/>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4">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lang w:val="en-US" w:eastAsia="zh-CN" w:bidi="ar-SA"/>
    </w:rPr>
  </w:style>
  <w:style w:type="paragraph" w:customStyle="1" w:styleId="25">
    <w:name w:val="BodyText1I2"/>
    <w:basedOn w:val="26"/>
    <w:qFormat/>
    <w:uiPriority w:val="0"/>
    <w:pPr>
      <w:tabs>
        <w:tab w:val="left" w:pos="1155"/>
      </w:tabs>
      <w:ind w:left="0" w:leftChars="0"/>
    </w:pPr>
    <w:rPr>
      <w:rFonts w:ascii="Times New Roman" w:hAnsi="Times New Roman"/>
      <w:sz w:val="28"/>
    </w:rPr>
  </w:style>
  <w:style w:type="paragraph" w:customStyle="1" w:styleId="26">
    <w:name w:val="BodyTextIndent"/>
    <w:basedOn w:val="1"/>
    <w:next w:val="27"/>
    <w:qFormat/>
    <w:uiPriority w:val="0"/>
    <w:pPr>
      <w:spacing w:after="120"/>
      <w:ind w:left="420" w:leftChars="200"/>
    </w:pPr>
  </w:style>
  <w:style w:type="paragraph" w:customStyle="1" w:styleId="27">
    <w:name w:val="NormalIndent"/>
    <w:basedOn w:val="1"/>
    <w:next w:val="28"/>
    <w:qFormat/>
    <w:uiPriority w:val="0"/>
    <w:pPr>
      <w:ind w:firstLine="420"/>
    </w:pPr>
  </w:style>
  <w:style w:type="paragraph" w:customStyle="1" w:styleId="28">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29">
    <w:name w:val=" Char Char Char"/>
    <w:basedOn w:val="1"/>
    <w:unhideWhenUsed/>
    <w:qFormat/>
    <w:uiPriority w:val="0"/>
    <w:rPr>
      <w:rFonts w:ascii="Tahoma" w:hAnsi="Tahoma"/>
    </w:rPr>
  </w:style>
  <w:style w:type="paragraph" w:customStyle="1" w:styleId="30">
    <w:name w:val="Default"/>
    <w:next w:val="16"/>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31">
    <w:name w:val="Body Text 2"/>
    <w:basedOn w:val="1"/>
    <w:qFormat/>
    <w:uiPriority w:val="0"/>
    <w:rPr>
      <w:rFonts w:eastAsia="宋体"/>
      <w:sz w:val="28"/>
    </w:rPr>
  </w:style>
  <w:style w:type="paragraph" w:customStyle="1" w:styleId="32">
    <w:name w:val="Normal Indent"/>
    <w:basedOn w:val="1"/>
    <w:next w:val="23"/>
    <w:qFormat/>
    <w:uiPriority w:val="0"/>
    <w:pPr>
      <w:ind w:firstLine="420" w:firstLineChars="200"/>
    </w:pPr>
    <w:rPr>
      <w:szCs w:val="24"/>
    </w:rPr>
  </w:style>
  <w:style w:type="paragraph" w:customStyle="1" w:styleId="33">
    <w:name w:val="批注框文本1"/>
    <w:basedOn w:val="1"/>
    <w:link w:val="34"/>
    <w:qFormat/>
    <w:uiPriority w:val="0"/>
    <w:rPr>
      <w:rFonts w:eastAsia="Times New Roman"/>
      <w:kern w:val="2"/>
      <w:sz w:val="18"/>
      <w:szCs w:val="18"/>
    </w:rPr>
  </w:style>
  <w:style w:type="character" w:customStyle="1" w:styleId="34">
    <w:name w:val="批注框文本 Char"/>
    <w:basedOn w:val="21"/>
    <w:link w:val="33"/>
    <w:semiHidden/>
    <w:qFormat/>
    <w:uiPriority w:val="0"/>
    <w:rPr>
      <w:rFonts w:eastAsia="Times New Roman"/>
      <w:kern w:val="2"/>
      <w:sz w:val="18"/>
      <w:szCs w:val="18"/>
    </w:rPr>
  </w:style>
  <w:style w:type="character" w:customStyle="1" w:styleId="35">
    <w:name w:val="正文首行缩进 2 Char"/>
    <w:basedOn w:val="21"/>
    <w:link w:val="36"/>
    <w:semiHidden/>
    <w:qFormat/>
    <w:uiPriority w:val="0"/>
    <w:rPr>
      <w:rFonts w:ascii="宋体" w:hAnsi="宋体" w:eastAsia="Times New Roman"/>
      <w:kern w:val="2"/>
      <w:sz w:val="24"/>
    </w:rPr>
  </w:style>
  <w:style w:type="paragraph" w:customStyle="1" w:styleId="36">
    <w:name w:val="Body Text First Indent 2"/>
    <w:basedOn w:val="37"/>
    <w:next w:val="1"/>
    <w:link w:val="35"/>
    <w:qFormat/>
    <w:uiPriority w:val="0"/>
    <w:pPr>
      <w:tabs>
        <w:tab w:val="left" w:pos="1155"/>
      </w:tabs>
      <w:ind w:firstLine="420" w:firstLineChars="200"/>
    </w:pPr>
    <w:rPr>
      <w:rFonts w:ascii="宋体" w:hAnsi="宋体" w:eastAsia="Times New Roman"/>
      <w:kern w:val="2"/>
      <w:sz w:val="24"/>
    </w:rPr>
  </w:style>
  <w:style w:type="paragraph" w:customStyle="1" w:styleId="37">
    <w:name w:val="Body Text Indent"/>
    <w:basedOn w:val="1"/>
    <w:next w:val="32"/>
    <w:qFormat/>
    <w:uiPriority w:val="0"/>
    <w:pPr>
      <w:tabs>
        <w:tab w:val="left" w:pos="1155"/>
      </w:tabs>
      <w:ind w:firstLine="475" w:firstLineChars="198"/>
    </w:pPr>
    <w:rPr>
      <w:rFonts w:ascii="宋体" w:hAnsi="宋体"/>
      <w:sz w:val="24"/>
    </w:rPr>
  </w:style>
  <w:style w:type="paragraph" w:customStyle="1" w:styleId="38">
    <w:name w:val="Body Text 3"/>
    <w:basedOn w:val="1"/>
    <w:qFormat/>
    <w:uiPriority w:val="0"/>
    <w:pPr>
      <w:spacing w:after="120"/>
    </w:pPr>
    <w:rPr>
      <w:sz w:val="16"/>
      <w:szCs w:val="16"/>
    </w:rPr>
  </w:style>
  <w:style w:type="paragraph" w:customStyle="1" w:styleId="39">
    <w:name w:val="Plain Text"/>
    <w:basedOn w:val="1"/>
    <w:qFormat/>
    <w:uiPriority w:val="0"/>
    <w:rPr>
      <w:rFonts w:ascii="宋体" w:hAnsi="Courier New"/>
      <w:szCs w:val="21"/>
    </w:rPr>
  </w:style>
  <w:style w:type="paragraph" w:customStyle="1" w:styleId="40">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41">
    <w:name w:val="Body Text Indent 2"/>
    <w:basedOn w:val="1"/>
    <w:qFormat/>
    <w:uiPriority w:val="0"/>
    <w:pPr>
      <w:spacing w:after="120" w:line="480" w:lineRule="auto"/>
      <w:ind w:left="420" w:leftChars="200"/>
    </w:pPr>
  </w:style>
  <w:style w:type="paragraph" w:customStyle="1" w:styleId="4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43">
    <w:name w:val="Body Text First Indent"/>
    <w:basedOn w:val="2"/>
    <w:next w:val="36"/>
    <w:qFormat/>
    <w:uiPriority w:val="0"/>
    <w:pPr>
      <w:ind w:firstLine="420" w:firstLineChars="100"/>
    </w:pPr>
    <w:rPr>
      <w:rFonts w:ascii="Times New Roman" w:hAnsi="Times New Roman" w:eastAsia="宋体"/>
    </w:rPr>
  </w:style>
  <w:style w:type="paragraph" w:customStyle="1" w:styleId="44">
    <w:name w:val="Char"/>
    <w:basedOn w:val="1"/>
    <w:qFormat/>
    <w:uiPriority w:val="0"/>
    <w:rPr>
      <w:rFonts w:ascii="Tahoma" w:hAnsi="Tahoma"/>
      <w:sz w:val="24"/>
    </w:rPr>
  </w:style>
  <w:style w:type="paragraph" w:customStyle="1" w:styleId="45">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6">
    <w:name w:val="Body text|2"/>
    <w:basedOn w:val="1"/>
    <w:link w:val="51"/>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7">
    <w:name w:val="Table Paragraph"/>
    <w:basedOn w:val="1"/>
    <w:qFormat/>
    <w:uiPriority w:val="0"/>
    <w:pPr>
      <w:jc w:val="left"/>
    </w:pPr>
    <w:rPr>
      <w:rFonts w:ascii="Calibri" w:hAnsi="Calibri"/>
      <w:kern w:val="0"/>
      <w:sz w:val="22"/>
      <w:szCs w:val="22"/>
      <w:lang w:eastAsia="en-US"/>
    </w:rPr>
  </w:style>
  <w:style w:type="paragraph" w:customStyle="1" w:styleId="48">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9">
    <w:name w:val="正文1"/>
    <w:basedOn w:val="1"/>
    <w:qFormat/>
    <w:uiPriority w:val="0"/>
    <w:pPr>
      <w:adjustRightInd w:val="0"/>
      <w:spacing w:line="318" w:lineRule="atLeast"/>
      <w:ind w:left="369" w:firstLine="369"/>
      <w:textAlignment w:val="baseline"/>
    </w:pPr>
    <w:rPr>
      <w:rFonts w:ascii="宋体"/>
    </w:rPr>
  </w:style>
  <w:style w:type="character" w:customStyle="1" w:styleId="50">
    <w:name w:val="Body text|2 + 8.5 pt"/>
    <w:basedOn w:val="5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1">
    <w:name w:val="Body text|2_"/>
    <w:basedOn w:val="21"/>
    <w:link w:val="46"/>
    <w:semiHidden/>
    <w:qFormat/>
    <w:uiPriority w:val="0"/>
    <w:rPr>
      <w:rFonts w:ascii="PMingLiU" w:hAnsi="PMingLiU" w:eastAsia="PMingLiU" w:cs="PMingLiU"/>
      <w:sz w:val="16"/>
      <w:szCs w:val="16"/>
      <w:u w:val="none"/>
    </w:rPr>
  </w:style>
  <w:style w:type="character" w:customStyle="1" w:styleId="52">
    <w:name w:val="Body text|2 + 10.5 pt"/>
    <w:basedOn w:val="51"/>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53">
    <w:name w:val="Body text|2 + PMingLiU"/>
    <w:basedOn w:val="51"/>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4">
    <w:name w:val="font61"/>
    <w:basedOn w:val="21"/>
    <w:qFormat/>
    <w:uiPriority w:val="0"/>
    <w:rPr>
      <w:rFonts w:hint="eastAsia" w:ascii="宋体" w:hAnsi="宋体" w:eastAsia="宋体" w:cs="宋体"/>
      <w:b/>
      <w:color w:val="000000"/>
      <w:sz w:val="21"/>
      <w:szCs w:val="21"/>
      <w:u w:val="none"/>
    </w:rPr>
  </w:style>
  <w:style w:type="character" w:customStyle="1" w:styleId="55">
    <w:name w:val="font11"/>
    <w:basedOn w:val="21"/>
    <w:qFormat/>
    <w:uiPriority w:val="0"/>
    <w:rPr>
      <w:rFonts w:hint="default" w:ascii="Times New Roman" w:hAnsi="Times New Roman" w:cs="Times New Roman"/>
      <w:b/>
      <w:color w:val="000000"/>
      <w:sz w:val="21"/>
      <w:szCs w:val="21"/>
      <w:u w:val="none"/>
    </w:rPr>
  </w:style>
  <w:style w:type="character" w:customStyle="1" w:styleId="56">
    <w:name w:val="font21"/>
    <w:basedOn w:val="21"/>
    <w:qFormat/>
    <w:uiPriority w:val="0"/>
    <w:rPr>
      <w:rFonts w:hint="eastAsia" w:ascii="宋体" w:hAnsi="宋体" w:eastAsia="宋体" w:cs="宋体"/>
      <w:b/>
      <w:color w:val="000000"/>
      <w:sz w:val="21"/>
      <w:szCs w:val="21"/>
      <w:u w:val="none"/>
    </w:rPr>
  </w:style>
  <w:style w:type="character" w:customStyle="1" w:styleId="57">
    <w:name w:val="font51"/>
    <w:basedOn w:val="21"/>
    <w:qFormat/>
    <w:uiPriority w:val="0"/>
    <w:rPr>
      <w:rFonts w:hint="default" w:ascii="Times New Roman" w:hAnsi="Times New Roman" w:cs="Times New Roman"/>
      <w:b/>
      <w:color w:val="000000"/>
      <w:sz w:val="21"/>
      <w:szCs w:val="21"/>
      <w:u w:val="none"/>
    </w:rPr>
  </w:style>
  <w:style w:type="character" w:customStyle="1" w:styleId="58">
    <w:name w:val="15"/>
    <w:basedOn w:val="21"/>
    <w:qFormat/>
    <w:uiPriority w:val="0"/>
    <w:rPr>
      <w:rFonts w:hint="default" w:ascii="Times New Roman" w:hAnsi="Times New Roman" w:cs="Times New Roman"/>
      <w:b/>
      <w:bCs/>
    </w:rPr>
  </w:style>
  <w:style w:type="character" w:customStyle="1" w:styleId="59">
    <w:name w:val="NormalCharacter"/>
    <w:qFormat/>
    <w:uiPriority w:val="0"/>
  </w:style>
  <w:style w:type="paragraph" w:customStyle="1" w:styleId="60">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61">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62">
    <w:name w:val="Body text|6"/>
    <w:basedOn w:val="1"/>
    <w:qFormat/>
    <w:uiPriority w:val="0"/>
    <w:pPr>
      <w:widowControl w:val="0"/>
      <w:shd w:val="clear" w:color="auto" w:fill="auto"/>
      <w:ind w:hanging="1820"/>
    </w:pPr>
    <w:rPr>
      <w:sz w:val="20"/>
      <w:szCs w:val="20"/>
      <w:u w:val="none"/>
      <w:shd w:val="clear" w:color="auto" w:fill="auto"/>
      <w:lang w:val="zh-CN"/>
    </w:rPr>
  </w:style>
  <w:style w:type="paragraph" w:customStyle="1" w:styleId="63">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4">
    <w:name w:val="font41"/>
    <w:basedOn w:val="21"/>
    <w:qFormat/>
    <w:uiPriority w:val="0"/>
    <w:rPr>
      <w:rFonts w:hint="eastAsia" w:ascii="宋体" w:hAnsi="宋体" w:eastAsia="宋体" w:cs="宋体"/>
      <w:b/>
      <w:bCs/>
      <w:color w:val="000000"/>
      <w:sz w:val="18"/>
      <w:szCs w:val="18"/>
      <w:u w:val="none"/>
    </w:rPr>
  </w:style>
  <w:style w:type="table" w:customStyle="1" w:styleId="65">
    <w:name w:val="Table Normal"/>
    <w:unhideWhenUsed/>
    <w:qFormat/>
    <w:uiPriority w:val="0"/>
    <w:tblPr>
      <w:tblCellMar>
        <w:top w:w="0" w:type="dxa"/>
        <w:left w:w="0" w:type="dxa"/>
        <w:bottom w:w="0" w:type="dxa"/>
        <w:right w:w="0" w:type="dxa"/>
      </w:tblCellMar>
    </w:tblPr>
  </w:style>
  <w:style w:type="paragraph" w:customStyle="1" w:styleId="66">
    <w:name w:val="Table Text"/>
    <w:basedOn w:val="1"/>
    <w:semiHidden/>
    <w:qFormat/>
    <w:uiPriority w:val="0"/>
    <w:rPr>
      <w:rFonts w:ascii="宋体" w:hAnsi="宋体" w:eastAsia="宋体" w:cs="宋体"/>
      <w:sz w:val="21"/>
      <w:szCs w:val="21"/>
      <w:lang w:val="en-US" w:eastAsia="en-US" w:bidi="ar-SA"/>
    </w:rPr>
  </w:style>
  <w:style w:type="paragraph" w:customStyle="1" w:styleId="67">
    <w:name w:val="三级标题"/>
    <w:basedOn w:val="1"/>
    <w:qFormat/>
    <w:uiPriority w:val="1"/>
    <w:pPr>
      <w:ind w:left="237"/>
      <w:outlineLvl w:val="5"/>
    </w:pPr>
    <w:rPr>
      <w:rFonts w:ascii="宋体" w:hAnsi="宋体" w:eastAsia="宋体"/>
      <w:b/>
      <w:sz w:val="28"/>
      <w:szCs w:val="28"/>
    </w:rPr>
  </w:style>
  <w:style w:type="paragraph" w:customStyle="1" w:styleId="68">
    <w:name w:val="UserStyle_45"/>
    <w:qFormat/>
    <w:uiPriority w:val="0"/>
    <w:pPr>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6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14304</Words>
  <Characters>15323</Characters>
  <Lines>68</Lines>
  <Paragraphs>56</Paragraphs>
  <TotalTime>6</TotalTime>
  <ScaleCrop>false</ScaleCrop>
  <LinksUpToDate>false</LinksUpToDate>
  <CharactersWithSpaces>17350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张梦雅</cp:lastModifiedBy>
  <cp:lastPrinted>2024-09-13T00:57:00Z</cp:lastPrinted>
  <dcterms:modified xsi:type="dcterms:W3CDTF">2024-11-19T00:50:32Z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38502B3AD4DB43D5BC25D06717747AF6_13</vt:lpwstr>
  </property>
</Properties>
</file>